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0B5607">
      <w:pPr>
        <w:pStyle w:val="aa"/>
        <w:ind w:right="-7" w:firstLine="56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C3AC4">
        <w:rPr>
          <w:rFonts w:ascii="GHEA Grapalat" w:hAnsi="GHEA Grapalat"/>
          <w:i w:val="0"/>
          <w:lang w:val="en-US"/>
        </w:rPr>
        <w:t>մա</w:t>
      </w:r>
      <w:r w:rsidR="00D17C05">
        <w:rPr>
          <w:rFonts w:ascii="GHEA Grapalat" w:hAnsi="GHEA Grapalat"/>
          <w:i w:val="0"/>
          <w:lang w:val="ru-RU"/>
        </w:rPr>
        <w:t>ր</w:t>
      </w:r>
      <w:r w:rsidR="001C3AC4">
        <w:rPr>
          <w:rFonts w:ascii="GHEA Grapalat" w:hAnsi="GHEA Grapalat"/>
          <w:i w:val="0"/>
          <w:lang w:val="en-US"/>
        </w:rPr>
        <w:t>տ</w:t>
      </w:r>
      <w:r w:rsidR="00D17C05">
        <w:rPr>
          <w:rFonts w:ascii="GHEA Grapalat" w:hAnsi="GHEA Grapalat"/>
          <w:i w:val="0"/>
          <w:lang w:val="ru-RU"/>
        </w:rPr>
        <w:t>ի</w:t>
      </w:r>
      <w:r w:rsidR="003C53D4" w:rsidRPr="00A71D81">
        <w:rPr>
          <w:rFonts w:ascii="GHEA Grapalat" w:hAnsi="GHEA Grapalat"/>
          <w:i w:val="0"/>
          <w:lang w:val="af-ZA"/>
        </w:rPr>
        <w:t>»</w:t>
      </w:r>
      <w:r w:rsidR="00F3239C">
        <w:rPr>
          <w:rFonts w:ascii="GHEA Grapalat" w:hAnsi="GHEA Grapalat"/>
          <w:i w:val="0"/>
          <w:lang w:val="af-ZA"/>
        </w:rPr>
        <w:t xml:space="preserve"> </w:t>
      </w:r>
      <w:r w:rsidR="001C3AC4">
        <w:rPr>
          <w:rFonts w:ascii="GHEA Grapalat" w:hAnsi="GHEA Grapalat"/>
          <w:i w:val="0"/>
          <w:lang w:val="af-ZA"/>
        </w:rPr>
        <w:t>5</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1C3AC4">
        <w:rPr>
          <w:rFonts w:ascii="GHEA Grapalat" w:hAnsi="GHEA Grapalat"/>
          <w:i w:val="0"/>
          <w:lang w:val="af-ZA"/>
        </w:rPr>
        <w:t>4</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C3AC4">
        <w:rPr>
          <w:rFonts w:ascii="GHEA Grapalat" w:hAnsi="GHEA Grapalat"/>
          <w:i w:val="0"/>
          <w:lang w:val="ru-RU"/>
        </w:rPr>
        <w:t>անվադողի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1549BA">
        <w:rPr>
          <w:rFonts w:ascii="GHEA Grapalat" w:hAnsi="GHEA Grapalat"/>
          <w:i w:val="0"/>
          <w:lang w:val="ru-RU"/>
        </w:rPr>
        <w:t>մարտ</w:t>
      </w:r>
      <w:r w:rsidR="00176742">
        <w:rPr>
          <w:rFonts w:ascii="GHEA Grapalat" w:hAnsi="GHEA Grapalat"/>
          <w:i w:val="0"/>
          <w:lang w:val="ru-RU"/>
        </w:rPr>
        <w:t>ի</w:t>
      </w:r>
      <w:r w:rsidR="00176742">
        <w:rPr>
          <w:rFonts w:ascii="GHEA Grapalat" w:hAnsi="GHEA Grapalat"/>
          <w:i w:val="0"/>
          <w:lang w:val="af-ZA"/>
        </w:rPr>
        <w:t>» «</w:t>
      </w:r>
      <w:r w:rsidR="009D22CB">
        <w:rPr>
          <w:rFonts w:ascii="GHEA Grapalat" w:hAnsi="GHEA Grapalat"/>
          <w:i w:val="0"/>
          <w:lang w:val="af-ZA"/>
        </w:rPr>
        <w:t>11</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1C3AC4">
        <w:rPr>
          <w:rFonts w:ascii="GHEA Grapalat" w:hAnsi="GHEA Grapalat" w:cs="Sylfaen"/>
          <w:i/>
          <w:sz w:val="20"/>
          <w:szCs w:val="20"/>
          <w:lang w:val="af-ZA"/>
        </w:rPr>
        <w:t>04</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1C3AC4">
        <w:rPr>
          <w:rFonts w:ascii="GHEA Grapalat" w:hAnsi="GHEA Grapalat" w:cs="Times Armenian"/>
          <w:i/>
          <w:sz w:val="20"/>
          <w:szCs w:val="20"/>
          <w:u w:val="single"/>
        </w:rPr>
        <w:t>Մարտ</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1C3AC4">
        <w:rPr>
          <w:rFonts w:ascii="GHEA Grapalat" w:hAnsi="GHEA Grapalat" w:cs="Times Armenian"/>
          <w:i/>
          <w:sz w:val="20"/>
          <w:szCs w:val="20"/>
          <w:u w:val="single"/>
          <w:lang w:val="af-ZA"/>
        </w:rPr>
        <w:t xml:space="preserve">5 </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1C3AC4">
        <w:rPr>
          <w:rFonts w:ascii="GHEA Grapalat" w:hAnsi="GHEA Grapalat" w:cs="Sylfaen"/>
        </w:rPr>
        <w:t>ԱՆՎԱԴՈՂԻ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1C3AC4">
        <w:rPr>
          <w:rFonts w:ascii="GHEA Grapalat" w:hAnsi="GHEA Grapalat"/>
          <w:b/>
          <w:sz w:val="20"/>
        </w:rPr>
        <w:t>ԱՆՎԱԴՈՂԻ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1C3AC4">
        <w:rPr>
          <w:rFonts w:ascii="GHEA Grapalat" w:hAnsi="GHEA Grapalat" w:cs="Times Armenian"/>
          <w:sz w:val="20"/>
          <w:lang w:val="af-ZA"/>
        </w:rPr>
        <w:t>04</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C82FCC">
        <w:rPr>
          <w:rFonts w:ascii="GHEA Grapalat" w:hAnsi="GHEA Grapalat" w:cs="Sylfaen"/>
          <w:i w:val="0"/>
          <w:lang w:val="ru-RU"/>
        </w:rPr>
        <w:t>Հեղուկ</w:t>
      </w:r>
      <w:r w:rsidR="00C82FCC" w:rsidRPr="00C82FCC">
        <w:rPr>
          <w:rFonts w:ascii="GHEA Grapalat" w:hAnsi="GHEA Grapalat" w:cs="Sylfaen"/>
          <w:i w:val="0"/>
          <w:lang w:val="en-US"/>
        </w:rPr>
        <w:t xml:space="preserve"> </w:t>
      </w:r>
      <w:r w:rsidR="00C82FCC">
        <w:rPr>
          <w:rFonts w:ascii="GHEA Grapalat" w:hAnsi="GHEA Grapalat" w:cs="Sylfaen"/>
          <w:i w:val="0"/>
          <w:lang w:val="ru-RU"/>
        </w:rPr>
        <w:t>գազ</w:t>
      </w:r>
      <w:r w:rsidR="00C82FCC" w:rsidRPr="00C82FCC">
        <w:rPr>
          <w:rFonts w:ascii="GHEA Grapalat" w:hAnsi="GHEA Grapalat" w:cs="Sylfaen"/>
          <w:i w:val="0"/>
          <w:lang w:val="en-US"/>
        </w:rPr>
        <w:t xml:space="preserve"> </w:t>
      </w:r>
      <w:r w:rsidR="00C82FCC">
        <w:rPr>
          <w:rFonts w:ascii="GHEA Grapalat" w:hAnsi="GHEA Grapalat" w:cs="Sylfaen"/>
          <w:i w:val="0"/>
          <w:lang w:val="ru-RU"/>
        </w:rPr>
        <w:t>պրոպանի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893E03" w:rsidRPr="00BB03F8" w:rsidTr="0008664D">
        <w:tc>
          <w:tcPr>
            <w:tcW w:w="1701" w:type="dxa"/>
            <w:vAlign w:val="center"/>
          </w:tcPr>
          <w:p w:rsidR="00893E03" w:rsidRPr="008B18AC"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893E03" w:rsidRPr="001C3AC4" w:rsidRDefault="001C3AC4" w:rsidP="00893E03">
            <w:pPr>
              <w:jc w:val="center"/>
              <w:rPr>
                <w:rFonts w:ascii="Sylfaen" w:hAnsi="Sylfaen"/>
                <w:sz w:val="18"/>
                <w:szCs w:val="18"/>
              </w:rPr>
            </w:pPr>
            <w:r>
              <w:rPr>
                <w:rFonts w:ascii="Sylfaen" w:hAnsi="Sylfaen"/>
                <w:sz w:val="18"/>
                <w:szCs w:val="18"/>
              </w:rPr>
              <w:t>1650000</w:t>
            </w:r>
          </w:p>
        </w:tc>
        <w:tc>
          <w:tcPr>
            <w:tcW w:w="7231" w:type="dxa"/>
            <w:tcBorders>
              <w:top w:val="single" w:sz="4" w:space="0" w:color="auto"/>
              <w:left w:val="single" w:sz="4" w:space="0" w:color="auto"/>
              <w:bottom w:val="single" w:sz="4" w:space="0" w:color="auto"/>
              <w:right w:val="single" w:sz="4" w:space="0" w:color="auto"/>
            </w:tcBorders>
          </w:tcPr>
          <w:p w:rsidR="00893E03" w:rsidRDefault="009D22CB" w:rsidP="001C3AC4">
            <w:pPr>
              <w:rPr>
                <w:rFonts w:ascii="Sylfaen" w:hAnsi="Sylfaen"/>
                <w:sz w:val="18"/>
                <w:szCs w:val="18"/>
              </w:rPr>
            </w:pPr>
            <w:r>
              <w:rPr>
                <w:rFonts w:ascii="Sylfaen" w:hAnsi="Sylfaen"/>
                <w:sz w:val="18"/>
                <w:szCs w:val="18"/>
              </w:rPr>
              <w:t>Անվադող չինական 315-80</w:t>
            </w:r>
            <w:r w:rsidR="001C3AC4">
              <w:rPr>
                <w:rFonts w:ascii="Sylfaen" w:hAnsi="Sylfaen"/>
                <w:sz w:val="18"/>
                <w:szCs w:val="18"/>
              </w:rPr>
              <w:t>-R22.5 22շերտանի փոխարինման աշխատանքը ներառյալ</w:t>
            </w:r>
          </w:p>
          <w:p w:rsidR="001C3AC4" w:rsidRPr="001C3AC4" w:rsidRDefault="001C3AC4" w:rsidP="001C3AC4">
            <w:pPr>
              <w:rPr>
                <w:rFonts w:ascii="Sylfaen" w:hAnsi="Sylfaen"/>
                <w:sz w:val="18"/>
                <w:szCs w:val="18"/>
              </w:rPr>
            </w:pP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1418" w:type="dxa"/>
            <w:tcBorders>
              <w:top w:val="single" w:sz="4" w:space="0" w:color="auto"/>
              <w:left w:val="single" w:sz="4" w:space="0" w:color="auto"/>
              <w:bottom w:val="single" w:sz="4" w:space="0" w:color="auto"/>
              <w:right w:val="single" w:sz="4" w:space="0" w:color="auto"/>
            </w:tcBorders>
          </w:tcPr>
          <w:p w:rsidR="00893E03" w:rsidRPr="001C3AC4" w:rsidRDefault="001C3AC4" w:rsidP="00893E03">
            <w:pPr>
              <w:jc w:val="center"/>
              <w:rPr>
                <w:rFonts w:ascii="Sylfaen" w:hAnsi="Sylfaen"/>
                <w:sz w:val="18"/>
                <w:szCs w:val="18"/>
              </w:rPr>
            </w:pPr>
            <w:r>
              <w:rPr>
                <w:rFonts w:ascii="Sylfaen" w:hAnsi="Sylfaen"/>
                <w:sz w:val="18"/>
                <w:szCs w:val="18"/>
              </w:rPr>
              <w:t>660000</w:t>
            </w:r>
          </w:p>
        </w:tc>
        <w:tc>
          <w:tcPr>
            <w:tcW w:w="7231" w:type="dxa"/>
            <w:tcBorders>
              <w:top w:val="single" w:sz="4" w:space="0" w:color="auto"/>
              <w:left w:val="single" w:sz="4" w:space="0" w:color="auto"/>
              <w:bottom w:val="single" w:sz="4" w:space="0" w:color="auto"/>
              <w:right w:val="single" w:sz="4" w:space="0" w:color="auto"/>
            </w:tcBorders>
          </w:tcPr>
          <w:p w:rsidR="00893E03" w:rsidRPr="001C3AC4" w:rsidRDefault="009D22CB" w:rsidP="00893E03">
            <w:pPr>
              <w:rPr>
                <w:rFonts w:ascii="Sylfaen" w:hAnsi="Sylfaen"/>
                <w:sz w:val="18"/>
                <w:szCs w:val="18"/>
              </w:rPr>
            </w:pPr>
            <w:r>
              <w:rPr>
                <w:rFonts w:ascii="Sylfaen" w:hAnsi="Sylfaen"/>
                <w:sz w:val="18"/>
                <w:szCs w:val="18"/>
              </w:rPr>
              <w:t xml:space="preserve">Անվադող 16.9-R28 </w:t>
            </w:r>
            <w:r w:rsidR="001C3AC4">
              <w:rPr>
                <w:rFonts w:ascii="Sylfaen" w:hAnsi="Sylfaen"/>
                <w:sz w:val="18"/>
                <w:szCs w:val="18"/>
              </w:rPr>
              <w:t xml:space="preserve"> չինական  փոխարինման աշխատանքը  ներառյալ</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lastRenderedPageBreak/>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w:t>
      </w:r>
      <w:r w:rsidR="007B6811" w:rsidRPr="00A71D81">
        <w:rPr>
          <w:rFonts w:ascii="GHEA Grapalat" w:hAnsi="GHEA Grapalat"/>
          <w:sz w:val="20"/>
          <w:szCs w:val="20"/>
          <w:lang w:val="af-ZA"/>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lastRenderedPageBreak/>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1C3AC4">
        <w:rPr>
          <w:rFonts w:ascii="GHEA Grapalat" w:hAnsi="GHEA Grapalat"/>
          <w:b/>
          <w:lang w:val="es-ES"/>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1C3AC4">
        <w:rPr>
          <w:rFonts w:ascii="GHEA Grapalat" w:hAnsi="GHEA Grapalat" w:cs="Arial"/>
          <w:sz w:val="20"/>
          <w:szCs w:val="20"/>
          <w:lang w:val="es-ES"/>
        </w:rPr>
        <w:t>4</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1C3AC4">
        <w:rPr>
          <w:rFonts w:ascii="GHEA Grapalat" w:hAnsi="GHEA Grapalat" w:cs="Arial"/>
          <w:sz w:val="20"/>
          <w:szCs w:val="20"/>
          <w:lang w:val="es-ES"/>
        </w:rPr>
        <w:t>04</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1C3AC4">
        <w:rPr>
          <w:rFonts w:ascii="GHEA Grapalat" w:hAnsi="GHEA Grapalat" w:cs="Sylfaen"/>
          <w:sz w:val="22"/>
          <w:szCs w:val="22"/>
        </w:rPr>
        <w:t>4</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1C3AC4">
        <w:rPr>
          <w:rFonts w:ascii="GHEA Grapalat" w:hAnsi="GHEA Grapalat" w:cs="Arial"/>
          <w:b/>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08664D">
        <w:rPr>
          <w:rFonts w:ascii="GHEA Grapalat" w:hAnsi="GHEA Grapalat" w:cs="Arial"/>
          <w:sz w:val="20"/>
          <w:szCs w:val="20"/>
          <w:lang w:val="hy-AM"/>
        </w:rPr>
        <w:t>0</w:t>
      </w:r>
      <w:r w:rsidR="001C3AC4">
        <w:rPr>
          <w:rFonts w:ascii="GHEA Grapalat" w:hAnsi="GHEA Grapalat" w:cs="Arial"/>
          <w:sz w:val="20"/>
          <w:szCs w:val="20"/>
        </w:rPr>
        <w:t>4</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1C3AC4">
        <w:rPr>
          <w:rFonts w:ascii="GHEA Grapalat" w:hAnsi="GHEA Grapalat" w:cs="Arial"/>
          <w:b/>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1C3AC4">
        <w:rPr>
          <w:rFonts w:ascii="GHEA Grapalat" w:hAnsi="GHEA Grapalat" w:cs="Arial"/>
          <w:b/>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08664D">
        <w:rPr>
          <w:rFonts w:ascii="GHEA Grapalat" w:hAnsi="GHEA Grapalat" w:cs="Arial"/>
          <w:sz w:val="20"/>
          <w:szCs w:val="20"/>
          <w:lang w:val="hy-AM"/>
        </w:rPr>
        <w:t>0</w:t>
      </w:r>
      <w:r w:rsidR="001C3AC4">
        <w:rPr>
          <w:rFonts w:ascii="GHEA Grapalat" w:hAnsi="GHEA Grapalat" w:cs="Arial"/>
          <w:sz w:val="20"/>
          <w:szCs w:val="20"/>
        </w:rPr>
        <w:t>4</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120EB3"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20EB3"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120EB3"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120EB3"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1C3AC4">
        <w:rPr>
          <w:rFonts w:ascii="GHEA Grapalat" w:hAnsi="GHEA Grapalat" w:cs="Arial"/>
          <w:b/>
          <w:lang w:val="es-ES"/>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1C3AC4">
        <w:rPr>
          <w:rStyle w:val="af5"/>
          <w:rFonts w:ascii="GHEA Grapalat" w:hAnsi="GHEA Grapalat"/>
          <w:b w:val="0"/>
          <w:bCs w:val="0"/>
          <w:sz w:val="20"/>
          <w:szCs w:val="20"/>
          <w:u w:val="single"/>
        </w:rPr>
        <w:t>4</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08664D">
        <w:rPr>
          <w:rFonts w:ascii="GHEA Grapalat" w:hAnsi="GHEA Grapalat"/>
          <w:color w:val="000000"/>
          <w:sz w:val="20"/>
          <w:szCs w:val="20"/>
          <w:u w:val="single"/>
          <w:lang w:val="hy-AM"/>
        </w:rPr>
        <w:t>0</w:t>
      </w:r>
      <w:r w:rsidR="001C3AC4">
        <w:rPr>
          <w:rFonts w:ascii="GHEA Grapalat" w:hAnsi="GHEA Grapalat"/>
          <w:color w:val="000000"/>
          <w:sz w:val="20"/>
          <w:szCs w:val="20"/>
          <w:u w:val="single"/>
        </w:rPr>
        <w:t>4</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1C3AC4">
        <w:rPr>
          <w:rFonts w:ascii="GHEA Grapalat" w:hAnsi="GHEA Grapalat" w:cs="Arial"/>
          <w:b/>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1C3AC4">
        <w:rPr>
          <w:rStyle w:val="af5"/>
          <w:rFonts w:ascii="GHEA Grapalat" w:hAnsi="GHEA Grapalat"/>
          <w:b w:val="0"/>
          <w:bCs w:val="0"/>
          <w:sz w:val="20"/>
          <w:szCs w:val="20"/>
          <w:u w:val="single"/>
        </w:rPr>
        <w:t>4</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1C3AC4">
        <w:rPr>
          <w:rFonts w:ascii="GHEA Grapalat" w:hAnsi="GHEA Grapalat" w:cs="Arial"/>
          <w:b/>
          <w:lang w:val="af-ZA"/>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08664D">
        <w:rPr>
          <w:rStyle w:val="af5"/>
          <w:rFonts w:ascii="GHEA Grapalat" w:hAnsi="GHEA Grapalat"/>
          <w:b w:val="0"/>
          <w:bCs w:val="0"/>
          <w:sz w:val="20"/>
          <w:szCs w:val="20"/>
          <w:u w:val="single"/>
          <w:lang w:val="hy-AM"/>
        </w:rPr>
        <w:t>0</w:t>
      </w:r>
      <w:r w:rsidR="001C3AC4">
        <w:rPr>
          <w:rStyle w:val="af5"/>
          <w:rFonts w:ascii="GHEA Grapalat" w:hAnsi="GHEA Grapalat"/>
          <w:b w:val="0"/>
          <w:bCs w:val="0"/>
          <w:sz w:val="20"/>
          <w:szCs w:val="20"/>
          <w:u w:val="single"/>
        </w:rPr>
        <w:t>4</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1C3AC4">
        <w:rPr>
          <w:rFonts w:ascii="GHEA Grapalat" w:hAnsi="GHEA Grapalat" w:cs="Arial"/>
          <w:b/>
          <w:lang w:val="af-ZA"/>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1C3AC4">
        <w:rPr>
          <w:rFonts w:ascii="GHEA Grapalat" w:hAnsi="GHEA Grapalat" w:cs="GHEA Grapalat"/>
          <w:sz w:val="20"/>
          <w:szCs w:val="20"/>
          <w:u w:val="single"/>
          <w:lang w:val="pt-BR"/>
        </w:rPr>
        <w:t>04</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1C3AC4">
        <w:rPr>
          <w:rFonts w:ascii="GHEA Grapalat" w:hAnsi="GHEA Grapalat" w:cs="Arial"/>
          <w:b/>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1C3AC4">
        <w:rPr>
          <w:rFonts w:ascii="GHEA Grapalat" w:hAnsi="GHEA Grapalat" w:cs="Sylfaen"/>
          <w:b/>
        </w:rPr>
        <w:t>4</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1C3AC4">
        <w:rPr>
          <w:rFonts w:ascii="GHEA Grapalat" w:hAnsi="GHEA Grapalat" w:cs="GHEA Grapalat"/>
          <w:sz w:val="20"/>
          <w:szCs w:val="20"/>
          <w:u w:val="single"/>
          <w:lang w:val="pt-BR"/>
        </w:rPr>
        <w:t>4</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1C3AC4">
        <w:rPr>
          <w:rFonts w:ascii="GHEA Grapalat" w:hAnsi="GHEA Grapalat" w:cs="Sylfaen"/>
          <w:b/>
        </w:rPr>
        <w:t>04</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1C3AC4">
        <w:rPr>
          <w:rFonts w:ascii="GHEA Grapalat" w:hAnsi="GHEA Grapalat" w:cs="Sylfaen"/>
          <w:b/>
        </w:rPr>
        <w:t>4</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C3AC4">
        <w:rPr>
          <w:rFonts w:ascii="GHEA Grapalat" w:hAnsi="GHEA Grapalat" w:cs="Sylfaen"/>
          <w:b/>
          <w:sz w:val="20"/>
          <w:lang w:val="hy-AM"/>
        </w:rPr>
        <w:t>ԲԿԾՀ-ԳՀԱՊՁԲ-24/0</w:t>
      </w:r>
      <w:r w:rsidR="001C3AC4">
        <w:rPr>
          <w:rFonts w:ascii="GHEA Grapalat" w:hAnsi="GHEA Grapalat" w:cs="Sylfaen"/>
          <w:b/>
          <w:sz w:val="20"/>
        </w:rPr>
        <w:t>4</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8664D">
        <w:rPr>
          <w:rFonts w:ascii="GHEA Grapalat" w:hAnsi="GHEA Grapalat"/>
          <w:i/>
          <w:sz w:val="18"/>
          <w:lang w:val="hy-AM"/>
        </w:rPr>
        <w:t>0</w:t>
      </w:r>
      <w:r w:rsidR="001C3AC4">
        <w:rPr>
          <w:rFonts w:ascii="GHEA Grapalat" w:hAnsi="GHEA Grapalat"/>
          <w:i/>
          <w:sz w:val="18"/>
        </w:rPr>
        <w:t>4</w:t>
      </w:r>
      <w:r w:rsidR="0008664D" w:rsidRPr="009C036C">
        <w:rPr>
          <w:rFonts w:ascii="GHEA Grapalat" w:hAnsi="GHEA Grapalat"/>
          <w:i/>
          <w:sz w:val="18"/>
          <w:lang w:val="hy-AM"/>
        </w:rPr>
        <w:t xml:space="preserve">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82"/>
        <w:gridCol w:w="1357"/>
        <w:gridCol w:w="2598"/>
        <w:gridCol w:w="966"/>
        <w:gridCol w:w="924"/>
        <w:gridCol w:w="1127"/>
        <w:gridCol w:w="1127"/>
        <w:gridCol w:w="933"/>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381210">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61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6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381210">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169"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611"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3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81210" w:rsidRPr="00893E03" w:rsidTr="001C3AC4">
        <w:trPr>
          <w:trHeight w:val="1118"/>
        </w:trPr>
        <w:tc>
          <w:tcPr>
            <w:tcW w:w="1451" w:type="dxa"/>
          </w:tcPr>
          <w:p w:rsidR="00381210" w:rsidRPr="0008664D" w:rsidRDefault="00381210"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381210" w:rsidRPr="0008664D" w:rsidRDefault="009D22CB" w:rsidP="00BD77E0">
            <w:pPr>
              <w:jc w:val="center"/>
              <w:rPr>
                <w:sz w:val="18"/>
                <w:szCs w:val="18"/>
              </w:rPr>
            </w:pPr>
            <w:r>
              <w:rPr>
                <w:sz w:val="18"/>
                <w:szCs w:val="18"/>
              </w:rPr>
              <w:t>34351400</w:t>
            </w:r>
          </w:p>
        </w:tc>
        <w:tc>
          <w:tcPr>
            <w:tcW w:w="1169" w:type="dxa"/>
            <w:shd w:val="clear" w:color="auto" w:fill="auto"/>
          </w:tcPr>
          <w:p w:rsidR="00381210" w:rsidRDefault="001C3AC4">
            <w:r>
              <w:rPr>
                <w:sz w:val="16"/>
                <w:szCs w:val="16"/>
              </w:rPr>
              <w:t>Անվադող 315-80-R22.5</w:t>
            </w:r>
            <w:r w:rsidR="009D22CB">
              <w:rPr>
                <w:sz w:val="16"/>
                <w:szCs w:val="16"/>
              </w:rPr>
              <w:t>կապրոն  չինական կամ համարժեքը</w:t>
            </w:r>
          </w:p>
        </w:tc>
        <w:tc>
          <w:tcPr>
            <w:tcW w:w="1357" w:type="dxa"/>
          </w:tcPr>
          <w:p w:rsidR="00381210" w:rsidRPr="00120EB3" w:rsidRDefault="00381210" w:rsidP="00BD77E0">
            <w:pPr>
              <w:jc w:val="center"/>
              <w:rPr>
                <w:rFonts w:ascii="GHEA Grapalat" w:hAnsi="GHEA Grapalat"/>
                <w:sz w:val="20"/>
              </w:rPr>
            </w:pPr>
          </w:p>
        </w:tc>
        <w:tc>
          <w:tcPr>
            <w:tcW w:w="2611" w:type="dxa"/>
            <w:tcBorders>
              <w:top w:val="single" w:sz="4" w:space="0" w:color="auto"/>
              <w:left w:val="single" w:sz="4" w:space="0" w:color="auto"/>
              <w:bottom w:val="single" w:sz="4" w:space="0" w:color="auto"/>
              <w:right w:val="single" w:sz="4" w:space="0" w:color="auto"/>
            </w:tcBorders>
            <w:vAlign w:val="center"/>
          </w:tcPr>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2"/>
            </w:tblGrid>
            <w:tr w:rsidR="00120EB3" w:rsidRPr="00120EB3" w:rsidTr="00120EB3">
              <w:tc>
                <w:tcPr>
                  <w:tcW w:w="2395" w:type="dxa"/>
                </w:tcPr>
                <w:p w:rsidR="00120EB3" w:rsidRPr="001C3AC4" w:rsidRDefault="001C3AC4" w:rsidP="001C3AC4">
                  <w:pPr>
                    <w:rPr>
                      <w:sz w:val="18"/>
                      <w:szCs w:val="18"/>
                    </w:rPr>
                  </w:pPr>
                  <w:r>
                    <w:rPr>
                      <w:sz w:val="18"/>
                      <w:szCs w:val="18"/>
                    </w:rPr>
                    <w:t>Անվադող 22 շերտանի չինական կամ համարժեքը, փոխարինման աշխատանքը ներառյալ</w:t>
                  </w:r>
                </w:p>
              </w:tc>
            </w:tr>
          </w:tbl>
          <w:p w:rsidR="00381210" w:rsidRPr="00120EB3" w:rsidRDefault="00381210" w:rsidP="00BD77E0">
            <w:pPr>
              <w:rPr>
                <w:rFonts w:ascii="GHEA Grapalat" w:hAnsi="GHEA Grapalat"/>
                <w:sz w:val="18"/>
                <w:szCs w:val="18"/>
                <w:lang w:val="ru-RU"/>
              </w:rPr>
            </w:pPr>
          </w:p>
        </w:tc>
        <w:tc>
          <w:tcPr>
            <w:tcW w:w="966" w:type="dxa"/>
            <w:shd w:val="clear" w:color="auto" w:fill="auto"/>
          </w:tcPr>
          <w:p w:rsidR="00381210" w:rsidRPr="00381210" w:rsidRDefault="00381210" w:rsidP="00BD77E0">
            <w:pPr>
              <w:jc w:val="center"/>
              <w:rPr>
                <w:rFonts w:ascii="Sylfaen" w:hAnsi="Sylfaen"/>
                <w:sz w:val="18"/>
                <w:szCs w:val="18"/>
              </w:rPr>
            </w:pPr>
            <w:r>
              <w:rPr>
                <w:rFonts w:ascii="Sylfaen" w:hAnsi="Sylfaen"/>
                <w:sz w:val="18"/>
                <w:szCs w:val="18"/>
              </w:rPr>
              <w:t>հատ</w:t>
            </w:r>
          </w:p>
        </w:tc>
        <w:tc>
          <w:tcPr>
            <w:tcW w:w="924" w:type="dxa"/>
          </w:tcPr>
          <w:p w:rsidR="00381210" w:rsidRPr="007E398D" w:rsidRDefault="00381210" w:rsidP="00BD77E0">
            <w:pPr>
              <w:jc w:val="center"/>
              <w:rPr>
                <w:rFonts w:ascii="GHEA Grapalat" w:hAnsi="GHEA Grapalat"/>
                <w:sz w:val="20"/>
                <w:lang w:val="ru-RU"/>
              </w:rPr>
            </w:pPr>
          </w:p>
        </w:tc>
        <w:tc>
          <w:tcPr>
            <w:tcW w:w="1127" w:type="dxa"/>
          </w:tcPr>
          <w:p w:rsidR="00381210" w:rsidRPr="007E398D" w:rsidRDefault="00381210" w:rsidP="00BD77E0">
            <w:pPr>
              <w:jc w:val="center"/>
              <w:rPr>
                <w:rFonts w:ascii="GHEA Grapalat" w:hAnsi="GHEA Grapalat"/>
                <w:sz w:val="20"/>
                <w:lang w:val="ru-RU"/>
              </w:rPr>
            </w:pPr>
          </w:p>
        </w:tc>
        <w:tc>
          <w:tcPr>
            <w:tcW w:w="1127" w:type="dxa"/>
            <w:shd w:val="clear" w:color="auto" w:fill="auto"/>
          </w:tcPr>
          <w:p w:rsidR="00381210" w:rsidRPr="00381210" w:rsidRDefault="001C3AC4" w:rsidP="00BD77E0">
            <w:pPr>
              <w:jc w:val="center"/>
              <w:rPr>
                <w:rFonts w:ascii="Sylfaen" w:hAnsi="Sylfaen"/>
                <w:sz w:val="18"/>
                <w:szCs w:val="18"/>
              </w:rPr>
            </w:pPr>
            <w:r>
              <w:rPr>
                <w:rFonts w:ascii="Sylfaen" w:hAnsi="Sylfaen"/>
                <w:sz w:val="18"/>
                <w:szCs w:val="18"/>
              </w:rPr>
              <w:t>1</w:t>
            </w:r>
            <w:r w:rsidR="00381210">
              <w:rPr>
                <w:rFonts w:ascii="Sylfaen" w:hAnsi="Sylfaen"/>
                <w:sz w:val="18"/>
                <w:szCs w:val="18"/>
              </w:rPr>
              <w:t>0</w:t>
            </w:r>
          </w:p>
        </w:tc>
        <w:tc>
          <w:tcPr>
            <w:tcW w:w="933" w:type="dxa"/>
          </w:tcPr>
          <w:p w:rsidR="00381210" w:rsidRPr="00381210" w:rsidRDefault="00381210"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tcPr>
          <w:p w:rsidR="00381210" w:rsidRPr="00381210" w:rsidRDefault="001C3AC4" w:rsidP="00BD77E0">
            <w:pPr>
              <w:jc w:val="center"/>
              <w:rPr>
                <w:rFonts w:ascii="Sylfaen" w:hAnsi="Sylfaen"/>
                <w:sz w:val="18"/>
                <w:szCs w:val="18"/>
              </w:rPr>
            </w:pPr>
            <w:r>
              <w:rPr>
                <w:rFonts w:ascii="Sylfaen" w:hAnsi="Sylfaen"/>
                <w:sz w:val="18"/>
                <w:szCs w:val="18"/>
              </w:rPr>
              <w:t>1</w:t>
            </w:r>
            <w:r w:rsidR="00381210">
              <w:rPr>
                <w:rFonts w:ascii="Sylfaen" w:hAnsi="Sylfaen"/>
                <w:sz w:val="18"/>
                <w:szCs w:val="18"/>
              </w:rPr>
              <w:t>0</w:t>
            </w:r>
          </w:p>
        </w:tc>
        <w:tc>
          <w:tcPr>
            <w:tcW w:w="1293" w:type="dxa"/>
          </w:tcPr>
          <w:p w:rsidR="00381210" w:rsidRPr="00120EB3" w:rsidRDefault="00120EB3" w:rsidP="00BD77E0">
            <w:pPr>
              <w:jc w:val="center"/>
              <w:rPr>
                <w:rFonts w:ascii="GHEA Grapalat" w:hAnsi="GHEA Grapalat"/>
                <w:bCs/>
                <w:sz w:val="14"/>
                <w:szCs w:val="14"/>
              </w:rPr>
            </w:pPr>
            <w:r>
              <w:rPr>
                <w:rFonts w:ascii="GHEA Grapalat" w:hAnsi="GHEA Grapalat"/>
                <w:bCs/>
                <w:sz w:val="14"/>
                <w:szCs w:val="14"/>
              </w:rPr>
              <w:t>Պայմանագիրն ուժի մեջ օրվանից 20  օրացույցային օրվա ընթա ցքում</w:t>
            </w:r>
          </w:p>
        </w:tc>
      </w:tr>
      <w:tr w:rsidR="00120EB3" w:rsidRPr="00893E03" w:rsidTr="001C3AC4">
        <w:trPr>
          <w:trHeight w:val="1253"/>
        </w:trPr>
        <w:tc>
          <w:tcPr>
            <w:tcW w:w="1451" w:type="dxa"/>
          </w:tcPr>
          <w:p w:rsidR="00120EB3" w:rsidRDefault="00120EB3" w:rsidP="00C55C0E">
            <w:pPr>
              <w:jc w:val="center"/>
              <w:rPr>
                <w:rFonts w:ascii="GHEA Grapalat" w:hAnsi="GHEA Grapalat"/>
                <w:sz w:val="20"/>
              </w:rPr>
            </w:pPr>
            <w:r>
              <w:rPr>
                <w:rFonts w:ascii="GHEA Grapalat" w:hAnsi="GHEA Grapalat"/>
                <w:sz w:val="20"/>
              </w:rPr>
              <w:t>2</w:t>
            </w:r>
          </w:p>
        </w:tc>
        <w:tc>
          <w:tcPr>
            <w:tcW w:w="1530" w:type="dxa"/>
            <w:shd w:val="clear" w:color="auto" w:fill="auto"/>
          </w:tcPr>
          <w:p w:rsidR="00120EB3" w:rsidRDefault="009D22CB" w:rsidP="00BD77E0">
            <w:pPr>
              <w:jc w:val="center"/>
              <w:rPr>
                <w:sz w:val="18"/>
                <w:szCs w:val="18"/>
              </w:rPr>
            </w:pPr>
            <w:r>
              <w:rPr>
                <w:sz w:val="18"/>
                <w:szCs w:val="18"/>
              </w:rPr>
              <w:t>34351500</w:t>
            </w:r>
          </w:p>
        </w:tc>
        <w:tc>
          <w:tcPr>
            <w:tcW w:w="1169" w:type="dxa"/>
            <w:shd w:val="clear" w:color="auto" w:fill="auto"/>
          </w:tcPr>
          <w:p w:rsidR="00120EB3" w:rsidRDefault="00120EB3">
            <w:r>
              <w:rPr>
                <w:sz w:val="18"/>
                <w:szCs w:val="18"/>
              </w:rPr>
              <w:t xml:space="preserve"> </w:t>
            </w:r>
            <w:r w:rsidR="001C3AC4">
              <w:rPr>
                <w:sz w:val="18"/>
                <w:szCs w:val="18"/>
              </w:rPr>
              <w:t>Անվադող 16.9-R28 կապրոն չինական կամ համարժեքը</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tcPr>
          <w:p w:rsidR="00120EB3" w:rsidRPr="001C3AC4" w:rsidRDefault="001C3AC4" w:rsidP="001C3AC4">
            <w:pPr>
              <w:rPr>
                <w:sz w:val="18"/>
                <w:szCs w:val="18"/>
              </w:rPr>
            </w:pPr>
            <w:r>
              <w:rPr>
                <w:sz w:val="18"/>
                <w:szCs w:val="18"/>
              </w:rPr>
              <w:t>Անվադող 16.9-R28 կապրոն չինական կամ համարժեքը փոխարինման աշխատանքը ներառյալ</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C3AC4" w:rsidP="00BD77E0">
            <w:pPr>
              <w:jc w:val="center"/>
              <w:rPr>
                <w:rFonts w:ascii="Sylfaen" w:hAnsi="Sylfaen"/>
                <w:sz w:val="18"/>
                <w:szCs w:val="18"/>
              </w:rPr>
            </w:pPr>
            <w:r>
              <w:rPr>
                <w:rFonts w:ascii="Sylfaen" w:hAnsi="Sylfaen"/>
                <w:sz w:val="18"/>
                <w:szCs w:val="18"/>
              </w:rPr>
              <w:t>2</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C3AC4" w:rsidP="00BD77E0">
            <w:pPr>
              <w:jc w:val="center"/>
              <w:rPr>
                <w:rFonts w:ascii="Sylfaen" w:hAnsi="Sylfaen"/>
                <w:sz w:val="18"/>
                <w:szCs w:val="18"/>
              </w:rPr>
            </w:pPr>
            <w:r>
              <w:rPr>
                <w:rFonts w:ascii="Sylfaen" w:hAnsi="Sylfaen"/>
                <w:sz w:val="18"/>
                <w:szCs w:val="18"/>
              </w:rPr>
              <w:t>2</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bl>
    <w:p w:rsidR="00071D1C" w:rsidRPr="0008664D" w:rsidRDefault="00071D1C" w:rsidP="00EF3662">
      <w:pPr>
        <w:jc w:val="both"/>
        <w:rPr>
          <w:rFonts w:ascii="GHEA Grapalat" w:hAnsi="GHEA Grapalat"/>
          <w:sz w:val="20"/>
        </w:rPr>
      </w:pPr>
    </w:p>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120EB3">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hy-AM"/>
        </w:rPr>
        <w:t>ԲԿԾՀ-ԳՀԱՊՁԲ-24/0</w:t>
      </w:r>
      <w:r w:rsidR="001C3AC4">
        <w:rPr>
          <w:rFonts w:ascii="GHEA Grapalat" w:hAnsi="GHEA Grapalat"/>
          <w:i/>
          <w:sz w:val="18"/>
        </w:rPr>
        <w:t>4</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120EB3"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1C3AC4" w:rsidRPr="00305DCC" w:rsidTr="00DA163A">
        <w:trPr>
          <w:trHeight w:val="408"/>
        </w:trPr>
        <w:tc>
          <w:tcPr>
            <w:tcW w:w="1805" w:type="dxa"/>
          </w:tcPr>
          <w:p w:rsidR="001C3AC4" w:rsidRPr="0008664D" w:rsidRDefault="001C3AC4"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1C3AC4" w:rsidRPr="0008664D" w:rsidRDefault="009D22CB" w:rsidP="00E91825">
            <w:pPr>
              <w:jc w:val="center"/>
              <w:rPr>
                <w:sz w:val="18"/>
                <w:szCs w:val="18"/>
              </w:rPr>
            </w:pPr>
            <w:r>
              <w:rPr>
                <w:sz w:val="18"/>
                <w:szCs w:val="18"/>
              </w:rPr>
              <w:t>34351400</w:t>
            </w:r>
          </w:p>
        </w:tc>
        <w:tc>
          <w:tcPr>
            <w:tcW w:w="2074" w:type="dxa"/>
            <w:shd w:val="clear" w:color="auto" w:fill="auto"/>
          </w:tcPr>
          <w:p w:rsidR="001C3AC4" w:rsidRPr="001C3AC4" w:rsidRDefault="001C3AC4" w:rsidP="001C3AC4">
            <w:pPr>
              <w:rPr>
                <w:sz w:val="18"/>
                <w:szCs w:val="18"/>
              </w:rPr>
            </w:pPr>
            <w:r>
              <w:rPr>
                <w:sz w:val="18"/>
                <w:szCs w:val="18"/>
              </w:rPr>
              <w:t>Անվադող 22 շերտանի չինական կամ համարժեքը, փոխարինման աշխատանքը ներառյալ</w:t>
            </w:r>
          </w:p>
        </w:tc>
        <w:tc>
          <w:tcPr>
            <w:tcW w:w="652" w:type="dxa"/>
          </w:tcPr>
          <w:p w:rsidR="001C3AC4" w:rsidRPr="009C036C" w:rsidRDefault="001C3AC4" w:rsidP="00E91825">
            <w:pPr>
              <w:rPr>
                <w:rFonts w:ascii="GHEA Grapalat" w:hAnsi="GHEA Grapalat" w:cs="Arial"/>
                <w:sz w:val="18"/>
                <w:szCs w:val="18"/>
              </w:rPr>
            </w:pPr>
            <w:r>
              <w:rPr>
                <w:rFonts w:ascii="GHEA Grapalat" w:hAnsi="GHEA Grapalat" w:cs="Arial"/>
                <w:sz w:val="18"/>
                <w:szCs w:val="18"/>
              </w:rPr>
              <w:t>--</w:t>
            </w:r>
          </w:p>
        </w:tc>
        <w:tc>
          <w:tcPr>
            <w:tcW w:w="652" w:type="dxa"/>
          </w:tcPr>
          <w:p w:rsidR="001C3AC4" w:rsidRPr="009C036C" w:rsidRDefault="001C3AC4" w:rsidP="00E91825">
            <w:pPr>
              <w:rPr>
                <w:rFonts w:ascii="GHEA Grapalat" w:hAnsi="GHEA Grapalat" w:cs="Arial"/>
                <w:sz w:val="18"/>
                <w:szCs w:val="18"/>
              </w:rPr>
            </w:pPr>
            <w:r>
              <w:rPr>
                <w:rFonts w:ascii="GHEA Grapalat" w:hAnsi="GHEA Grapalat" w:cs="Arial"/>
                <w:sz w:val="18"/>
                <w:szCs w:val="18"/>
              </w:rPr>
              <w:t>--</w:t>
            </w:r>
          </w:p>
        </w:tc>
        <w:tc>
          <w:tcPr>
            <w:tcW w:w="652" w:type="dxa"/>
          </w:tcPr>
          <w:p w:rsidR="001C3AC4" w:rsidRPr="009C036C" w:rsidRDefault="001C3AC4" w:rsidP="00E91825">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1676"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r>
      <w:tr w:rsidR="001C3AC4" w:rsidRPr="00305DCC" w:rsidTr="00DA163A">
        <w:trPr>
          <w:trHeight w:val="408"/>
        </w:trPr>
        <w:tc>
          <w:tcPr>
            <w:tcW w:w="1805" w:type="dxa"/>
          </w:tcPr>
          <w:p w:rsidR="001C3AC4" w:rsidRPr="0008664D" w:rsidRDefault="001C3AC4" w:rsidP="00E91825">
            <w:pPr>
              <w:jc w:val="center"/>
              <w:rPr>
                <w:rFonts w:ascii="GHEA Grapalat" w:hAnsi="GHEA Grapalat"/>
                <w:sz w:val="20"/>
              </w:rPr>
            </w:pPr>
            <w:r>
              <w:rPr>
                <w:rFonts w:ascii="GHEA Grapalat" w:hAnsi="GHEA Grapalat"/>
                <w:sz w:val="20"/>
              </w:rPr>
              <w:t>2</w:t>
            </w:r>
          </w:p>
        </w:tc>
        <w:tc>
          <w:tcPr>
            <w:tcW w:w="2314" w:type="dxa"/>
            <w:shd w:val="clear" w:color="auto" w:fill="auto"/>
          </w:tcPr>
          <w:p w:rsidR="001C3AC4" w:rsidRPr="0008664D" w:rsidRDefault="009D22CB" w:rsidP="00E91825">
            <w:pPr>
              <w:jc w:val="center"/>
              <w:rPr>
                <w:sz w:val="18"/>
                <w:szCs w:val="18"/>
              </w:rPr>
            </w:pPr>
            <w:r>
              <w:rPr>
                <w:sz w:val="18"/>
                <w:szCs w:val="18"/>
              </w:rPr>
              <w:t>34351500</w:t>
            </w:r>
          </w:p>
        </w:tc>
        <w:tc>
          <w:tcPr>
            <w:tcW w:w="2074" w:type="dxa"/>
            <w:shd w:val="clear" w:color="auto" w:fill="auto"/>
          </w:tcPr>
          <w:p w:rsidR="001C3AC4" w:rsidRDefault="001C3AC4" w:rsidP="001C3AC4">
            <w:r>
              <w:rPr>
                <w:sz w:val="18"/>
                <w:szCs w:val="18"/>
              </w:rPr>
              <w:t xml:space="preserve"> Անվադող 16.9-R28 կապրոն չինական կամ համարժեքը փոխարինման աշխատանքը ներառյալ</w:t>
            </w:r>
          </w:p>
        </w:tc>
        <w:tc>
          <w:tcPr>
            <w:tcW w:w="652" w:type="dxa"/>
          </w:tcPr>
          <w:p w:rsidR="001C3AC4" w:rsidRPr="00120EB3" w:rsidRDefault="001C3AC4" w:rsidP="00E91825">
            <w:pPr>
              <w:rPr>
                <w:rFonts w:ascii="GHEA Grapalat" w:hAnsi="GHEA Grapalat" w:cs="Arial"/>
                <w:sz w:val="18"/>
                <w:szCs w:val="18"/>
              </w:rPr>
            </w:pPr>
            <w:r>
              <w:rPr>
                <w:rFonts w:ascii="GHEA Grapalat" w:hAnsi="GHEA Grapalat" w:cs="Arial"/>
                <w:sz w:val="18"/>
                <w:szCs w:val="18"/>
              </w:rPr>
              <w:t>--</w:t>
            </w:r>
          </w:p>
        </w:tc>
        <w:tc>
          <w:tcPr>
            <w:tcW w:w="652" w:type="dxa"/>
          </w:tcPr>
          <w:p w:rsidR="001C3AC4" w:rsidRPr="00120EB3" w:rsidRDefault="001C3AC4" w:rsidP="00E91825">
            <w:pPr>
              <w:rPr>
                <w:rFonts w:ascii="GHEA Grapalat" w:hAnsi="GHEA Grapalat" w:cs="Arial"/>
                <w:sz w:val="18"/>
                <w:szCs w:val="18"/>
              </w:rPr>
            </w:pPr>
            <w:r>
              <w:rPr>
                <w:rFonts w:ascii="GHEA Grapalat" w:hAnsi="GHEA Grapalat" w:cs="Arial"/>
                <w:sz w:val="18"/>
                <w:szCs w:val="18"/>
              </w:rPr>
              <w:t>--</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652"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c>
          <w:tcPr>
            <w:tcW w:w="1676" w:type="dxa"/>
          </w:tcPr>
          <w:p w:rsidR="001C3AC4" w:rsidRPr="009C036C" w:rsidRDefault="001C3AC4" w:rsidP="001C3AC4">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lastRenderedPageBreak/>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lastRenderedPageBreak/>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ru-RU"/>
        </w:rPr>
        <w:t>ԲԿԾՀ-ԳՀԱՊՁԲ-24/0</w:t>
      </w:r>
      <w:r w:rsidR="001C3AC4">
        <w:rPr>
          <w:rFonts w:ascii="GHEA Grapalat" w:hAnsi="GHEA Grapalat"/>
          <w:i/>
          <w:sz w:val="18"/>
        </w:rPr>
        <w:t>4</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120EB3" w:rsidTr="007A2020">
        <w:trPr>
          <w:tblCellSpacing w:w="7" w:type="dxa"/>
          <w:jc w:val="center"/>
        </w:trPr>
        <w:tc>
          <w:tcPr>
            <w:tcW w:w="0" w:type="auto"/>
            <w:vAlign w:val="center"/>
          </w:tcPr>
          <w:p w:rsidR="0038400D" w:rsidRPr="00A71D81" w:rsidRDefault="00162864" w:rsidP="007A2020">
            <w:pPr>
              <w:jc w:val="center"/>
              <w:rPr>
                <w:rFonts w:ascii="GHEA Grapalat" w:hAnsi="GHEA Grapalat"/>
                <w:iCs/>
                <w:color w:val="000000"/>
                <w:sz w:val="21"/>
                <w:szCs w:val="21"/>
                <w:lang w:val="pt-BR"/>
              </w:rPr>
            </w:pPr>
            <w:r w:rsidRPr="00162864">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08664D">
        <w:rPr>
          <w:rFonts w:ascii="GHEA Grapalat" w:hAnsi="GHEA Grapalat" w:cs="Sylfaen"/>
          <w:i/>
          <w:sz w:val="20"/>
          <w:lang w:val="ru-RU"/>
        </w:rPr>
        <w:t>ԲԿԾՀ-ԳՀԱՊՁԲ-24/0</w:t>
      </w:r>
      <w:r w:rsidR="001C3AC4">
        <w:rPr>
          <w:rFonts w:ascii="GHEA Grapalat" w:hAnsi="GHEA Grapalat" w:cs="Sylfaen"/>
          <w:i/>
          <w:sz w:val="20"/>
        </w:rPr>
        <w:t>4</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53" w:rsidRDefault="00226153">
      <w:r>
        <w:separator/>
      </w:r>
    </w:p>
  </w:endnote>
  <w:endnote w:type="continuationSeparator" w:id="0">
    <w:p w:rsidR="00226153" w:rsidRDefault="0022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53" w:rsidRDefault="00226153">
      <w:r>
        <w:separator/>
      </w:r>
    </w:p>
  </w:footnote>
  <w:footnote w:type="continuationSeparator" w:id="0">
    <w:p w:rsidR="00226153" w:rsidRDefault="00226153">
      <w:r>
        <w:continuationSeparator/>
      </w:r>
    </w:p>
  </w:footnote>
  <w:footnote w:id="1">
    <w:p w:rsidR="001C3AC4" w:rsidRPr="006265F4" w:rsidRDefault="001C3AC4"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1C3AC4" w:rsidRPr="00D45BA2" w:rsidRDefault="001C3AC4">
      <w:pPr>
        <w:pStyle w:val="af2"/>
      </w:pPr>
    </w:p>
  </w:footnote>
  <w:footnote w:id="2">
    <w:p w:rsidR="001C3AC4" w:rsidRPr="00D45BA2" w:rsidRDefault="001C3AC4">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1C3AC4" w:rsidRPr="006D2E03" w:rsidRDefault="001C3AC4"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1C3AC4" w:rsidRPr="008C7473" w:rsidRDefault="001C3A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1C3AC4" w:rsidRPr="008C7473" w:rsidRDefault="001C3A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1C3AC4" w:rsidRPr="008C7473" w:rsidRDefault="001C3AC4"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1C3AC4" w:rsidRPr="008C7473" w:rsidRDefault="001C3AC4"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1C3AC4" w:rsidRPr="00AE74A0" w:rsidRDefault="001C3AC4"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1C3AC4" w:rsidRPr="006265F4" w:rsidRDefault="001C3AC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1C3AC4" w:rsidRPr="006265F4" w:rsidRDefault="001C3AC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1C3AC4" w:rsidRPr="006265F4" w:rsidRDefault="001C3AC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1C3AC4" w:rsidRPr="00D45BA2" w:rsidRDefault="001C3AC4">
      <w:pPr>
        <w:pStyle w:val="af2"/>
      </w:pPr>
    </w:p>
  </w:footnote>
  <w:footnote w:id="5">
    <w:p w:rsidR="001C3AC4" w:rsidRPr="006265F4" w:rsidRDefault="001C3AC4"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1C3AC4" w:rsidRPr="006265F4" w:rsidRDefault="001C3AC4"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1C3AC4" w:rsidRPr="00D45BA2" w:rsidRDefault="001C3AC4"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1C3AC4" w:rsidRPr="006F2A6C" w:rsidRDefault="001C3AC4"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1C3AC4" w:rsidRPr="00D45BA2" w:rsidRDefault="001C3AC4"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1C3AC4" w:rsidRPr="008A2E7F" w:rsidRDefault="001C3AC4"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1C3AC4" w:rsidRPr="00D45BA2" w:rsidRDefault="001C3AC4">
      <w:pPr>
        <w:pStyle w:val="af2"/>
        <w:rPr>
          <w:lang w:val="hy-AM"/>
        </w:rPr>
      </w:pPr>
    </w:p>
  </w:footnote>
  <w:footnote w:id="9">
    <w:p w:rsidR="001C3AC4" w:rsidRPr="004F5893" w:rsidRDefault="001C3AC4"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1C3AC4" w:rsidRPr="004F5893" w:rsidRDefault="001C3AC4"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1C3AC4" w:rsidRPr="0028748F" w:rsidRDefault="001C3A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1C3AC4" w:rsidRPr="004B72E3" w:rsidRDefault="001C3AC4"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1C3AC4" w:rsidRPr="004B72E3" w:rsidRDefault="001C3AC4"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1C3AC4" w:rsidRPr="00084034" w:rsidRDefault="001C3AC4"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1C3AC4" w:rsidRPr="000B7538" w:rsidRDefault="001C3AC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1C3AC4" w:rsidRPr="000B7538" w:rsidRDefault="001C3AC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1C3AC4" w:rsidRPr="000B7538" w:rsidRDefault="001C3AC4"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1C3AC4" w:rsidRPr="006F2A6C" w:rsidRDefault="001C3AC4">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1C3AC4" w:rsidRPr="000B7538" w:rsidRDefault="001C3AC4"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1C3AC4" w:rsidRPr="00F913EC" w:rsidRDefault="001C3AC4"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1C3AC4" w:rsidRPr="006F2A6C" w:rsidRDefault="001C3AC4"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1C3AC4" w:rsidRPr="00084034" w:rsidRDefault="001C3AC4"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1C3AC4" w:rsidRPr="00084034" w:rsidRDefault="001C3AC4">
      <w:pPr>
        <w:pStyle w:val="af2"/>
        <w:rPr>
          <w:rFonts w:asciiTheme="minorHAnsi" w:hAnsiTheme="minorHAnsi"/>
          <w:lang w:val="hy-AM"/>
        </w:rPr>
      </w:pPr>
    </w:p>
  </w:footnote>
  <w:footnote w:id="18">
    <w:p w:rsidR="001C3AC4" w:rsidRPr="002D2421" w:rsidRDefault="001C3AC4"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1C3AC4" w:rsidRPr="00FD4E69" w:rsidRDefault="001C3AC4"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1C3AC4" w:rsidRPr="00AB6289" w:rsidRDefault="001C3AC4"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1C3AC4" w:rsidRPr="00FD4E69" w:rsidRDefault="001C3AC4">
      <w:pPr>
        <w:pStyle w:val="af2"/>
        <w:rPr>
          <w:rFonts w:asciiTheme="minorHAnsi" w:hAnsiTheme="minorHAnsi"/>
          <w:lang w:val="af-ZA"/>
        </w:rPr>
      </w:pPr>
    </w:p>
  </w:footnote>
  <w:footnote w:id="21">
    <w:p w:rsidR="001C3AC4" w:rsidRPr="000B7538" w:rsidRDefault="001C3AC4"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1C3AC4" w:rsidRPr="002D2421" w:rsidRDefault="001C3AC4"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1C3AC4" w:rsidRPr="002D2421" w:rsidRDefault="001C3AC4">
      <w:pPr>
        <w:pStyle w:val="af2"/>
        <w:rPr>
          <w:rFonts w:asciiTheme="minorHAnsi" w:hAnsiTheme="minorHAnsi"/>
          <w:lang w:val="hy-AM"/>
        </w:rPr>
      </w:pPr>
    </w:p>
  </w:footnote>
  <w:footnote w:id="22">
    <w:p w:rsidR="001C3AC4" w:rsidRPr="00002A8F" w:rsidRDefault="001C3AC4">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1C3AC4" w:rsidRPr="004E599D" w:rsidRDefault="001C3AC4">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1C3AC4" w:rsidRPr="006265F4" w:rsidRDefault="001C3AC4"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C3AC4" w:rsidRPr="00416526" w:rsidRDefault="001C3AC4"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1C3AC4" w:rsidRPr="002D2421" w:rsidRDefault="001C3AC4">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1C3AC4" w:rsidRPr="00151EB5" w:rsidRDefault="001C3AC4"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1C3AC4" w:rsidRPr="002D2421" w:rsidRDefault="001C3AC4">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1C3AC4" w:rsidRPr="008C7473" w:rsidRDefault="001C3AC4"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1C3AC4" w:rsidRPr="00BE68BB" w:rsidRDefault="001C3AC4">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286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AC4"/>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15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2CB"/>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160F-CD45-470D-A219-C2F52CCC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24439</Words>
  <Characters>139305</Characters>
  <Application>Microsoft Office Word</Application>
  <DocSecurity>0</DocSecurity>
  <Lines>1160</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163418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157</cp:revision>
  <cp:lastPrinted>2018-02-16T07:12:00Z</cp:lastPrinted>
  <dcterms:created xsi:type="dcterms:W3CDTF">2022-10-31T10:53:00Z</dcterms:created>
  <dcterms:modified xsi:type="dcterms:W3CDTF">2024-03-05T13:30:00Z</dcterms:modified>
</cp:coreProperties>
</file>