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034C5C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34C5C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034C5C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34C5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Pr="00034C5C">
        <w:rPr>
          <w:rFonts w:ascii="GHEA Grapalat" w:hAnsi="GHEA Grapalat"/>
          <w:i w:val="0"/>
          <w:color w:val="FF0000"/>
          <w:lang w:val="af-ZA"/>
        </w:rPr>
        <w:t>հուլիսի 30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«ՀՀ ՊՆ ՆՏԱԴ-</w:t>
      </w:r>
      <w:r w:rsidRPr="0021514D">
        <w:rPr>
          <w:rFonts w:ascii="GHEA Grapalat" w:hAnsi="GHEA Grapalat"/>
          <w:i w:val="0"/>
          <w:lang w:val="af-ZA"/>
        </w:rPr>
        <w:t>ՓՆՄԱՇՁԲ</w:t>
      </w:r>
      <w:r>
        <w:rPr>
          <w:rFonts w:ascii="GHEA Grapalat" w:hAnsi="GHEA Grapalat"/>
          <w:i w:val="0"/>
          <w:lang w:val="af-ZA"/>
        </w:rPr>
        <w:t>-</w:t>
      </w:r>
      <w:r w:rsidR="00E37307" w:rsidRPr="00034C5C">
        <w:rPr>
          <w:rFonts w:ascii="GHEA Grapalat" w:hAnsi="GHEA Grapalat"/>
          <w:i w:val="0"/>
          <w:lang w:val="af-ZA"/>
        </w:rPr>
        <w:t>10/</w:t>
      </w:r>
      <w:r w:rsidR="00E37307">
        <w:rPr>
          <w:rFonts w:ascii="GHEA Grapalat" w:hAnsi="GHEA Grapalat"/>
          <w:i w:val="0"/>
          <w:color w:val="FF0000"/>
          <w:lang w:val="af-ZA"/>
        </w:rPr>
        <w:t>22</w:t>
      </w:r>
      <w:r>
        <w:rPr>
          <w:rFonts w:ascii="GHEA Grapalat" w:hAnsi="GHEA Grapalat"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Տրանսպորտային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E37307">
        <w:rPr>
          <w:rFonts w:ascii="GHEA Grapalat" w:hAnsi="GHEA Grapalat" w:cs="Sylfaen"/>
          <w:color w:val="FF0000"/>
          <w:sz w:val="20"/>
        </w:rPr>
        <w:t>16.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E37307">
        <w:rPr>
          <w:rFonts w:ascii="GHEA Grapalat" w:hAnsi="GHEA Grapalat" w:cs="Sylfaen"/>
          <w:color w:val="FF0000"/>
          <w:sz w:val="20"/>
          <w:lang w:val="af-ZA"/>
        </w:rPr>
        <w:t>0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E37307">
        <w:rPr>
          <w:rFonts w:ascii="GHEA Grapalat" w:hAnsi="GHEA Grapalat" w:cs="Sylfaen"/>
          <w:sz w:val="20"/>
          <w:lang w:val="af-ZA"/>
        </w:rPr>
        <w:t>ն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034C5C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</w:t>
      </w:r>
      <w:r w:rsidR="00E37307">
        <w:rPr>
          <w:rFonts w:ascii="GHEA Grapalat" w:hAnsi="GHEA Grapalat" w:cs="Sylfaen"/>
          <w:color w:val="FF0000"/>
          <w:sz w:val="20"/>
        </w:rPr>
        <w:t>6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E37307">
        <w:rPr>
          <w:rFonts w:ascii="GHEA Grapalat" w:hAnsi="GHEA Grapalat" w:cs="Sylfaen"/>
          <w:color w:val="FF0000"/>
          <w:sz w:val="20"/>
        </w:rPr>
        <w:t>0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34C5C">
        <w:rPr>
          <w:rFonts w:ascii="GHEA Grapalat" w:hAnsi="GHEA Grapalat"/>
          <w:b/>
          <w:lang w:val="af-ZA"/>
        </w:rPr>
        <w:t>«ՀՀ ՊՆ ՆՏԱԴ-ՓՆՄԱՇՁԲ-</w:t>
      </w:r>
      <w:r w:rsidR="00E37307" w:rsidRPr="00034C5C">
        <w:rPr>
          <w:rFonts w:ascii="GHEA Grapalat" w:hAnsi="GHEA Grapalat"/>
          <w:b/>
          <w:lang w:val="af-ZA"/>
        </w:rPr>
        <w:t>10/</w:t>
      </w:r>
      <w:r w:rsidR="00E37307" w:rsidRPr="00034C5C">
        <w:rPr>
          <w:rFonts w:ascii="GHEA Grapalat" w:hAnsi="GHEA Grapalat"/>
          <w:b/>
          <w:color w:val="FF0000"/>
          <w:lang w:val="af-ZA"/>
        </w:rPr>
        <w:t>22</w:t>
      </w:r>
      <w:r w:rsidRPr="00034C5C">
        <w:rPr>
          <w:rFonts w:ascii="GHEA Grapalat" w:hAnsi="GHEA Grapalat"/>
          <w:b/>
          <w:lang w:val="af-ZA"/>
        </w:rPr>
        <w:t>»</w:t>
      </w:r>
      <w:r w:rsidRPr="00EF0D28">
        <w:rPr>
          <w:rFonts w:ascii="GHEA Grapalat" w:hAnsi="GHEA Grapalat"/>
          <w:b/>
          <w:lang w:val="es-ES"/>
        </w:rPr>
        <w:t xml:space="preserve">  </w:t>
      </w:r>
      <w:r w:rsidRPr="00EF0D28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034C5C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E37307" w:rsidRPr="00034C5C">
        <w:rPr>
          <w:rFonts w:ascii="GHEA Grapalat" w:hAnsi="GHEA Grapalat"/>
          <w:b/>
          <w:sz w:val="20"/>
          <w:szCs w:val="20"/>
          <w:lang w:val="af-ZA"/>
        </w:rPr>
        <w:t>10/</w:t>
      </w:r>
      <w:r w:rsidR="00E37307" w:rsidRPr="00034C5C">
        <w:rPr>
          <w:rFonts w:ascii="GHEA Grapalat" w:hAnsi="GHEA Grapalat"/>
          <w:b/>
          <w:color w:val="FF0000"/>
          <w:sz w:val="20"/>
          <w:szCs w:val="20"/>
          <w:lang w:val="af-ZA"/>
        </w:rPr>
        <w:t>22</w:t>
      </w:r>
      <w:r w:rsidRPr="00034C5C">
        <w:rPr>
          <w:rFonts w:ascii="GHEA Grapalat" w:hAnsi="GHEA Grapalat"/>
          <w:b/>
          <w:sz w:val="20"/>
          <w:szCs w:val="20"/>
          <w:lang w:val="af-ZA"/>
        </w:rPr>
        <w:t>»</w:t>
      </w:r>
      <w:r w:rsidRPr="00034C5C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034C5C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E37307">
        <w:rPr>
          <w:rFonts w:ascii="GHEA Grapalat" w:hAnsi="GHEA Grapalat"/>
          <w:b/>
          <w:lang w:val="af-ZA"/>
        </w:rPr>
        <w:t>10/</w:t>
      </w:r>
      <w:bookmarkStart w:id="0" w:name="_GoBack"/>
      <w:r w:rsidR="00E37307" w:rsidRPr="00034C5C">
        <w:rPr>
          <w:rFonts w:ascii="GHEA Grapalat" w:hAnsi="GHEA Grapalat"/>
          <w:b/>
          <w:color w:val="FF0000"/>
          <w:lang w:val="af-ZA"/>
        </w:rPr>
        <w:t>22</w:t>
      </w:r>
      <w:bookmarkEnd w:id="0"/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034C5C"/>
    <w:rsid w:val="00210A2D"/>
    <w:rsid w:val="002E728F"/>
    <w:rsid w:val="005C6A5D"/>
    <w:rsid w:val="00635435"/>
    <w:rsid w:val="007E0766"/>
    <w:rsid w:val="00A35C23"/>
    <w:rsid w:val="00BF4288"/>
    <w:rsid w:val="00E3730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2019-07-28T12:23:00Z</dcterms:created>
  <dcterms:modified xsi:type="dcterms:W3CDTF">2019-07-29T16:59:00Z</dcterms:modified>
</cp:coreProperties>
</file>