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C8160B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C8160B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C8160B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C8160B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="00C8160B">
        <w:rPr>
          <w:rFonts w:ascii="GHEA Grapalat" w:hAnsi="GHEA Grapalat"/>
          <w:i w:val="0"/>
          <w:color w:val="FF0000"/>
          <w:lang w:val="af-ZA"/>
        </w:rPr>
        <w:t>օգոստոսի 1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>
        <w:rPr>
          <w:rFonts w:ascii="GHEA Grapalat" w:hAnsi="GHEA Grapalat"/>
          <w:i w:val="0"/>
          <w:lang w:val="af-ZA"/>
        </w:rPr>
        <w:t>«ՀՀ ՊՆ ՆՏԱԴ-</w:t>
      </w:r>
      <w:r w:rsidRPr="0021514D">
        <w:rPr>
          <w:rFonts w:ascii="GHEA Grapalat" w:hAnsi="GHEA Grapalat"/>
          <w:i w:val="0"/>
          <w:lang w:val="af-ZA"/>
        </w:rPr>
        <w:t>ՓՆՄԱՇՁԲ</w:t>
      </w:r>
      <w:r>
        <w:rPr>
          <w:rFonts w:ascii="GHEA Grapalat" w:hAnsi="GHEA Grapalat"/>
          <w:i w:val="0"/>
          <w:lang w:val="af-ZA"/>
        </w:rPr>
        <w:t>-</w:t>
      </w:r>
      <w:r w:rsidR="003E4D3F">
        <w:rPr>
          <w:rFonts w:ascii="GHEA Grapalat" w:hAnsi="GHEA Grapalat"/>
          <w:i w:val="0"/>
          <w:lang w:val="af-ZA"/>
        </w:rPr>
        <w:t>10/</w:t>
      </w:r>
      <w:r w:rsidR="003E4D3F" w:rsidRPr="003E4D3F">
        <w:rPr>
          <w:rFonts w:ascii="GHEA Grapalat" w:hAnsi="GHEA Grapalat"/>
          <w:i w:val="0"/>
          <w:color w:val="FF0000"/>
          <w:lang w:val="af-ZA"/>
        </w:rPr>
        <w:t>28</w:t>
      </w:r>
      <w:r>
        <w:rPr>
          <w:rFonts w:ascii="GHEA Grapalat" w:hAnsi="GHEA Grapalat"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="003E4D3F">
        <w:rPr>
          <w:rFonts w:ascii="GHEA Grapalat" w:hAnsi="GHEA Grapalat" w:cs="Sylfaen"/>
          <w:color w:val="FF0000"/>
          <w:sz w:val="20"/>
        </w:rPr>
        <w:t>20</w:t>
      </w:r>
      <w:r w:rsidR="00E37307">
        <w:rPr>
          <w:rFonts w:ascii="GHEA Grapalat" w:hAnsi="GHEA Grapalat" w:cs="Sylfaen"/>
          <w:color w:val="FF0000"/>
          <w:sz w:val="20"/>
        </w:rPr>
        <w:t>.</w:t>
      </w:r>
      <w:r w:rsidRPr="00DF2088">
        <w:rPr>
          <w:rFonts w:ascii="GHEA Grapalat" w:hAnsi="GHEA Grapalat" w:cs="Sylfaen"/>
          <w:color w:val="FF0000"/>
          <w:sz w:val="20"/>
        </w:rPr>
        <w:t>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</w:t>
      </w:r>
      <w:r w:rsidR="00C8160B">
        <w:rPr>
          <w:rFonts w:ascii="GHEA Grapalat" w:hAnsi="GHEA Grapalat" w:cs="Sylfaen"/>
          <w:color w:val="FF0000"/>
          <w:sz w:val="20"/>
          <w:lang w:val="af-ZA"/>
        </w:rPr>
        <w:t>3</w:t>
      </w:r>
      <w:r w:rsidR="002B7133">
        <w:rPr>
          <w:rFonts w:ascii="GHEA Grapalat" w:hAnsi="GHEA Grapalat" w:cs="Sylfaen"/>
          <w:color w:val="FF0000"/>
          <w:sz w:val="20"/>
          <w:lang w:val="af-ZA"/>
        </w:rPr>
        <w:t>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="00C8160B">
        <w:rPr>
          <w:rFonts w:ascii="GHEA Grapalat" w:hAnsi="GHEA Grapalat" w:cs="Sylfaen"/>
          <w:sz w:val="20"/>
          <w:lang w:val="af-ZA"/>
        </w:rPr>
        <w:t>ը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EE0F27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="003E4D3F">
        <w:rPr>
          <w:rFonts w:ascii="GHEA Grapalat" w:hAnsi="GHEA Grapalat" w:cs="Sylfaen"/>
          <w:color w:val="FF0000"/>
          <w:sz w:val="20"/>
        </w:rPr>
        <w:t>20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</w:t>
      </w:r>
      <w:r w:rsidR="00C8160B">
        <w:rPr>
          <w:rFonts w:ascii="GHEA Grapalat" w:hAnsi="GHEA Grapalat" w:cs="Sylfaen"/>
          <w:color w:val="FF0000"/>
          <w:sz w:val="20"/>
        </w:rPr>
        <w:t>3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EE0F27">
        <w:rPr>
          <w:rFonts w:ascii="GHEA Grapalat" w:hAnsi="GHEA Grapalat"/>
          <w:b/>
          <w:lang w:val="af-ZA"/>
        </w:rPr>
        <w:t>«ՀՀ ՊՆ ՆՏԱԴ-ՓՆՄԱՇՁԲ-</w:t>
      </w:r>
      <w:r w:rsidR="003E4D3F">
        <w:rPr>
          <w:rFonts w:ascii="GHEA Grapalat" w:hAnsi="GHEA Grapalat"/>
          <w:b/>
          <w:lang w:val="af-ZA"/>
        </w:rPr>
        <w:t>10/</w:t>
      </w:r>
      <w:r w:rsidR="003E4D3F" w:rsidRPr="003E4D3F">
        <w:rPr>
          <w:rFonts w:ascii="GHEA Grapalat" w:hAnsi="GHEA Grapalat"/>
          <w:b/>
          <w:color w:val="FF0000"/>
          <w:lang w:val="af-ZA"/>
        </w:rPr>
        <w:t>28</w:t>
      </w:r>
      <w:r w:rsidRPr="00EE0F27">
        <w:rPr>
          <w:rFonts w:ascii="GHEA Grapalat" w:hAnsi="GHEA Grapalat"/>
          <w:b/>
          <w:lang w:val="af-ZA"/>
        </w:rPr>
        <w:t>»</w:t>
      </w:r>
      <w:r w:rsidRPr="00EE0F27">
        <w:rPr>
          <w:rFonts w:ascii="GHEA Grapalat" w:hAnsi="GHEA Grapalat"/>
          <w:b/>
          <w:lang w:val="es-ES"/>
        </w:rPr>
        <w:t xml:space="preserve">  </w:t>
      </w:r>
      <w:r w:rsidRPr="00EE0F27">
        <w:rPr>
          <w:rFonts w:ascii="GHEA Grapalat" w:hAnsi="GHEA Grapalat" w:cs="Sylfaen"/>
          <w:b/>
          <w:lang w:val="es-ES"/>
        </w:rPr>
        <w:t>ծածկագրով</w:t>
      </w:r>
      <w:r w:rsidRPr="00EF0D28">
        <w:rPr>
          <w:rFonts w:ascii="GHEA Grapalat" w:hAnsi="GHEA Grapalat" w:cs="Sylfaen"/>
          <w:b/>
          <w:lang w:val="es-ES"/>
        </w:rPr>
        <w:t xml:space="preserve">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E0F27">
        <w:rPr>
          <w:rFonts w:ascii="GHEA Grapalat" w:hAnsi="GHEA Grapalat" w:cs="Sylfaen"/>
          <w:i/>
          <w:sz w:val="20"/>
          <w:szCs w:val="20"/>
          <w:lang w:val="es-ES"/>
        </w:rPr>
        <w:t xml:space="preserve">կողմից 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«ՀՀ ՊՆ ՆՏԱԴ-ՓՆՄԱՇՁԲ-</w:t>
      </w:r>
      <w:r w:rsidR="003E4D3F">
        <w:rPr>
          <w:rFonts w:ascii="GHEA Grapalat" w:hAnsi="GHEA Grapalat"/>
          <w:b/>
          <w:sz w:val="20"/>
          <w:szCs w:val="20"/>
          <w:lang w:val="af-ZA"/>
        </w:rPr>
        <w:t>10/</w:t>
      </w:r>
      <w:r w:rsidR="003E4D3F" w:rsidRPr="003E4D3F">
        <w:rPr>
          <w:rFonts w:ascii="GHEA Grapalat" w:hAnsi="GHEA Grapalat"/>
          <w:b/>
          <w:color w:val="FF0000"/>
          <w:sz w:val="20"/>
          <w:szCs w:val="20"/>
          <w:lang w:val="af-ZA"/>
        </w:rPr>
        <w:t>28</w:t>
      </w:r>
      <w:r w:rsidRPr="00EE0F27">
        <w:rPr>
          <w:rFonts w:ascii="GHEA Grapalat" w:hAnsi="GHEA Grapalat"/>
          <w:b/>
          <w:sz w:val="20"/>
          <w:szCs w:val="20"/>
          <w:lang w:val="af-ZA"/>
        </w:rPr>
        <w:t>»</w:t>
      </w:r>
      <w:r w:rsidRPr="00EE0F27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r w:rsidRPr="00EE0F27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bookmarkStart w:id="0" w:name="_GoBack"/>
      <w:bookmarkEnd w:id="0"/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</w:t>
      </w:r>
      <w:r w:rsidR="003E4D3F">
        <w:rPr>
          <w:rFonts w:ascii="GHEA Grapalat" w:hAnsi="GHEA Grapalat"/>
          <w:b/>
          <w:lang w:val="af-ZA"/>
        </w:rPr>
        <w:t>10/</w:t>
      </w:r>
      <w:r w:rsidR="003E4D3F" w:rsidRPr="003E4D3F">
        <w:rPr>
          <w:rFonts w:ascii="GHEA Grapalat" w:hAnsi="GHEA Grapalat"/>
          <w:b/>
          <w:color w:val="FF0000"/>
          <w:lang w:val="af-ZA"/>
        </w:rPr>
        <w:t>28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210A2D"/>
    <w:rsid w:val="002B7133"/>
    <w:rsid w:val="002E728F"/>
    <w:rsid w:val="003E4D3F"/>
    <w:rsid w:val="005C6A5D"/>
    <w:rsid w:val="00635435"/>
    <w:rsid w:val="00673CA9"/>
    <w:rsid w:val="007E0766"/>
    <w:rsid w:val="00A35C23"/>
    <w:rsid w:val="00BE7D32"/>
    <w:rsid w:val="00BF4288"/>
    <w:rsid w:val="00C8160B"/>
    <w:rsid w:val="00E37307"/>
    <w:rsid w:val="00EE0F27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dcterms:created xsi:type="dcterms:W3CDTF">2019-07-28T12:23:00Z</dcterms:created>
  <dcterms:modified xsi:type="dcterms:W3CDTF">2019-07-30T16:02:00Z</dcterms:modified>
</cp:coreProperties>
</file>