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D086E" w14:textId="77777777" w:rsidR="00831206" w:rsidRDefault="00831206" w:rsidP="004D4258">
      <w:pPr>
        <w:pStyle w:val="af3"/>
        <w:jc w:val="center"/>
        <w:rPr>
          <w:rFonts w:ascii="GHEA Grapalat" w:hAnsi="GHEA Grapalat"/>
          <w:lang w:val="af-ZA"/>
        </w:rPr>
      </w:pPr>
    </w:p>
    <w:p w14:paraId="3D195EFE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ОБЪЯВЛЕНИЕ</w:t>
      </w:r>
    </w:p>
    <w:p w14:paraId="115E19DB" w14:textId="77777777" w:rsidR="00831206" w:rsidRDefault="00831206" w:rsidP="00831206">
      <w:pPr>
        <w:pStyle w:val="af3"/>
        <w:ind w:left="567" w:right="565"/>
        <w:jc w:val="center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О ПРОЦЕДУРЕ ПРЕДВАРИТЕЛЬНОЙ КВАЛИФИКАЦИИ</w:t>
      </w:r>
    </w:p>
    <w:p w14:paraId="6212A965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</w:p>
    <w:p w14:paraId="00F9626F" w14:textId="0AEC65F5" w:rsidR="00831206" w:rsidRDefault="00831206" w:rsidP="00831206">
      <w:pPr>
        <w:widowControl w:val="0"/>
        <w:jc w:val="both"/>
        <w:rPr>
          <w:rFonts w:ascii="GHEA Grapalat" w:hAnsi="GHEA Grapalat"/>
          <w:i/>
          <w:noProof w:val="0"/>
          <w:color w:val="FF0000"/>
          <w:sz w:val="22"/>
          <w:szCs w:val="22"/>
          <w:lang w:val="ru-RU"/>
        </w:rPr>
      </w:pPr>
      <w:r>
        <w:rPr>
          <w:rFonts w:ascii="GHEA Grapalat" w:hAnsi="GHEA Grapalat"/>
          <w:i/>
          <w:color w:val="FF0000"/>
          <w:sz w:val="22"/>
          <w:szCs w:val="22"/>
        </w:rPr>
        <w:t xml:space="preserve">Процедура закупки организована на основании </w:t>
      </w:r>
      <w:r w:rsidR="009C0FF2">
        <w:rPr>
          <w:rFonts w:ascii="GHEA Grapalat" w:hAnsi="GHEA Grapalat"/>
          <w:i/>
          <w:color w:val="FF0000"/>
          <w:sz w:val="22"/>
          <w:szCs w:val="22"/>
        </w:rPr>
        <w:t>2</w:t>
      </w:r>
      <w:r>
        <w:rPr>
          <w:rFonts w:ascii="GHEA Grapalat" w:hAnsi="GHEA Grapalat"/>
          <w:i/>
          <w:color w:val="FF0000"/>
          <w:sz w:val="22"/>
          <w:szCs w:val="22"/>
        </w:rPr>
        <w:t>- ого пункта части 6 статьи 15 Закона РА "О закупках"</w:t>
      </w:r>
    </w:p>
    <w:p w14:paraId="7A41EE86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</w:p>
    <w:p w14:paraId="4E687F58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Настоящий текст объявления утвержден решением Оценочной комиссии открытого конкурса</w:t>
      </w:r>
    </w:p>
    <w:p w14:paraId="19EA314E" w14:textId="5BF7C545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  <w:r w:rsidRPr="006E05A1">
        <w:rPr>
          <w:rFonts w:ascii="GHEA Grapalat" w:hAnsi="GHEA Grapalat"/>
          <w:sz w:val="22"/>
          <w:szCs w:val="22"/>
          <w:highlight w:val="yellow"/>
          <w:lang w:val="ru-RU"/>
        </w:rPr>
        <w:t>__</w:t>
      </w:r>
      <w:r w:rsidR="005A1661">
        <w:rPr>
          <w:rFonts w:ascii="GHEA Grapalat" w:hAnsi="GHEA Grapalat"/>
          <w:sz w:val="22"/>
          <w:szCs w:val="22"/>
          <w:highlight w:val="yellow"/>
        </w:rPr>
        <w:t>02</w:t>
      </w:r>
      <w:r w:rsidR="006353BF">
        <w:rPr>
          <w:rFonts w:ascii="GHEA Grapalat" w:hAnsi="GHEA Grapalat"/>
          <w:sz w:val="22"/>
          <w:szCs w:val="22"/>
          <w:highlight w:val="yellow"/>
        </w:rPr>
        <w:t xml:space="preserve"> </w:t>
      </w:r>
      <w:r w:rsidRPr="006E05A1">
        <w:rPr>
          <w:rFonts w:ascii="GHEA Grapalat" w:hAnsi="GHEA Grapalat"/>
          <w:sz w:val="22"/>
          <w:szCs w:val="22"/>
          <w:highlight w:val="yellow"/>
          <w:lang w:val="ru-RU"/>
        </w:rPr>
        <w:t>_</w:t>
      </w:r>
      <w:r w:rsidR="005A1661">
        <w:rPr>
          <w:rFonts w:ascii="GHEA Grapalat" w:hAnsi="GHEA Grapalat"/>
          <w:sz w:val="22"/>
          <w:szCs w:val="22"/>
          <w:lang w:val="ru-RU"/>
        </w:rPr>
        <w:t>июня</w:t>
      </w:r>
      <w:r w:rsidRPr="006E05A1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E05A1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202</w:t>
      </w:r>
      <w:r w:rsidR="006353BF">
        <w:rPr>
          <w:rFonts w:ascii="GHEA Grapalat" w:hAnsi="GHEA Grapalat"/>
          <w:b/>
          <w:sz w:val="22"/>
          <w:szCs w:val="22"/>
          <w:lang w:val="ru-RU"/>
        </w:rPr>
        <w:t>6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года № 1 и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публикуется в соответствии со статьей 24 Закона Республики Армения "О закупках"</w:t>
      </w:r>
    </w:p>
    <w:p w14:paraId="48724B1C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</w:p>
    <w:p w14:paraId="63B85FD7" w14:textId="7FDF1CA6" w:rsidR="00831206" w:rsidRPr="00831206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Код процедуры</w:t>
      </w:r>
      <w:r>
        <w:rPr>
          <w:rFonts w:ascii="GHEA Grapalat" w:hAnsi="GHEA Grapalat"/>
          <w:sz w:val="22"/>
          <w:szCs w:val="22"/>
          <w:lang w:val="ru-RU"/>
        </w:rPr>
        <w:t xml:space="preserve">  </w:t>
      </w:r>
      <w:r w:rsidRPr="0069583D">
        <w:rPr>
          <w:rFonts w:ascii="GHEA Grapalat" w:hAnsi="GHEA Grapalat"/>
          <w:b/>
          <w:sz w:val="22"/>
          <w:szCs w:val="22"/>
          <w:lang w:val="en-US"/>
        </w:rPr>
        <w:t>HH</w:t>
      </w:r>
      <w:r w:rsidRPr="0069583D">
        <w:rPr>
          <w:rFonts w:ascii="GHEA Grapalat" w:hAnsi="GHEA Grapalat"/>
          <w:b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  <w:lang w:val="en-US"/>
        </w:rPr>
        <w:t>BC</w:t>
      </w:r>
      <w:r w:rsidRPr="0069583D">
        <w:rPr>
          <w:rFonts w:ascii="GHEA Grapalat" w:hAnsi="GHEA Grapalat"/>
          <w:b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  <w:lang w:val="en-US"/>
        </w:rPr>
        <w:t>A</w:t>
      </w:r>
      <w:r w:rsidRPr="0069583D">
        <w:rPr>
          <w:rFonts w:ascii="GHEA Grapalat" w:hAnsi="GHEA Grapalat"/>
          <w:b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</w:rPr>
        <w:t>BMXTsDzB-2</w:t>
      </w:r>
      <w:r w:rsidR="005A1661">
        <w:rPr>
          <w:rFonts w:ascii="GHEA Grapalat" w:hAnsi="GHEA Grapalat"/>
          <w:b/>
          <w:sz w:val="22"/>
          <w:szCs w:val="22"/>
        </w:rPr>
        <w:t>6/3</w:t>
      </w:r>
      <w:r w:rsidR="006353BF">
        <w:rPr>
          <w:rFonts w:ascii="GHEA Grapalat" w:hAnsi="GHEA Grapalat"/>
          <w:b/>
          <w:sz w:val="22"/>
          <w:szCs w:val="22"/>
        </w:rPr>
        <w:t>8</w:t>
      </w:r>
    </w:p>
    <w:p w14:paraId="33419FCF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b/>
          <w:i/>
          <w:sz w:val="22"/>
          <w:szCs w:val="22"/>
        </w:rPr>
      </w:pPr>
    </w:p>
    <w:p w14:paraId="779CA6D5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b/>
          <w:i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I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ХАРАКТЕРИСТИКА ПРЕДМЕТА ЗАКУПКИ</w:t>
      </w:r>
    </w:p>
    <w:p w14:paraId="4FB92307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b/>
          <w:i/>
          <w:sz w:val="22"/>
          <w:szCs w:val="22"/>
          <w:lang w:val="ru-RU"/>
        </w:rPr>
      </w:pPr>
    </w:p>
    <w:p w14:paraId="0C81A1E2" w14:textId="2C7D4D95" w:rsidR="00831206" w:rsidRPr="001C6C3C" w:rsidRDefault="00831206" w:rsidP="00831206">
      <w:pPr>
        <w:jc w:val="both"/>
        <w:rPr>
          <w:rFonts w:ascii="GHEA Grapalat" w:hAnsi="GHEA Grapalat"/>
          <w:b/>
          <w:i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Заказчик Государственное учреждение Министерства окружающей среды Республики Армения "Бюро по реализации экологических программ", находящийся по адресу: </w:t>
      </w:r>
      <w:r>
        <w:rPr>
          <w:rFonts w:ascii="GHEA Grapalat" w:hAnsi="GHEA Grapalat"/>
          <w:sz w:val="22"/>
          <w:szCs w:val="22"/>
          <w:lang w:val="ru-RU"/>
        </w:rPr>
        <w:t>г.Ереван, ул Тиграна Мец 65А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 w:cs="Sylfaen"/>
          <w:sz w:val="22"/>
          <w:szCs w:val="22"/>
        </w:rPr>
        <w:t xml:space="preserve">объявляет процедуру предварительной квалификации открытого конкурса 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с целью </w:t>
      </w:r>
      <w:r w:rsidRPr="00117A2E">
        <w:rPr>
          <w:rFonts w:ascii="GHEA Grapalat" w:hAnsi="GHEA Grapalat"/>
          <w:sz w:val="22"/>
          <w:szCs w:val="22"/>
          <w:lang w:val="ru-RU"/>
        </w:rPr>
        <w:t>определения потенциальных участников</w:t>
      </w:r>
      <w:r w:rsidRPr="00117A2E">
        <w:rPr>
          <w:rFonts w:ascii="GHEA Grapalat" w:hAnsi="GHEA Grapalat" w:cs="Sylfaen"/>
          <w:sz w:val="22"/>
          <w:szCs w:val="22"/>
        </w:rPr>
        <w:t xml:space="preserve"> </w:t>
      </w:r>
      <w:r w:rsidRPr="00117A2E">
        <w:rPr>
          <w:rFonts w:ascii="GHEA Grapalat" w:hAnsi="GHEA Grapalat" w:cs="Sylfaen"/>
          <w:sz w:val="22"/>
          <w:szCs w:val="22"/>
          <w:lang w:val="ru-RU"/>
        </w:rPr>
        <w:t>для</w:t>
      </w:r>
      <w:r w:rsidRPr="00117A2E">
        <w:rPr>
          <w:rFonts w:ascii="GHEA Grapalat" w:hAnsi="GHEA Grapalat" w:cs="Sylfaen"/>
          <w:sz w:val="22"/>
          <w:szCs w:val="22"/>
        </w:rPr>
        <w:t xml:space="preserve"> приобретения </w:t>
      </w:r>
      <w:r w:rsidRPr="001C6C3C">
        <w:rPr>
          <w:rFonts w:ascii="GHEA Grapalat" w:hAnsi="GHEA Grapalat" w:cs="Sylfaen"/>
          <w:sz w:val="22"/>
          <w:szCs w:val="22"/>
        </w:rPr>
        <w:t>услуг</w:t>
      </w:r>
      <w:r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6353B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6353BF">
        <w:rPr>
          <w:sz w:val="22"/>
        </w:rPr>
        <w:t>Международн</w:t>
      </w:r>
      <w:r w:rsidR="006353BF">
        <w:rPr>
          <w:sz w:val="22"/>
          <w:lang w:val="ru-RU"/>
        </w:rPr>
        <w:t>ого</w:t>
      </w:r>
      <w:r w:rsidR="006353BF" w:rsidRPr="000323D3">
        <w:rPr>
          <w:sz w:val="22"/>
        </w:rPr>
        <w:t xml:space="preserve"> </w:t>
      </w:r>
      <w:r w:rsidR="006353BF" w:rsidRPr="000323D3">
        <w:rPr>
          <w:sz w:val="22"/>
          <w:lang w:val="ru-RU"/>
        </w:rPr>
        <w:t>консультант</w:t>
      </w:r>
      <w:r w:rsidR="006353BF">
        <w:rPr>
          <w:sz w:val="22"/>
          <w:lang w:val="ru-RU"/>
        </w:rPr>
        <w:t>а</w:t>
      </w:r>
      <w:r w:rsidR="006353BF" w:rsidRPr="000323D3">
        <w:rPr>
          <w:sz w:val="22"/>
        </w:rPr>
        <w:t xml:space="preserve"> по схеме агроэкологических платежей (AEPS)</w:t>
      </w:r>
      <w:r w:rsidR="006353BF">
        <w:rPr>
          <w:rFonts w:ascii="GHEA Grapalat" w:hAnsi="GHEA Grapalat" w:cs="Sylfaen"/>
          <w:sz w:val="22"/>
          <w:szCs w:val="22"/>
          <w:lang w:val="ru-RU"/>
        </w:rPr>
        <w:t xml:space="preserve">  </w:t>
      </w:r>
      <w:r w:rsidRPr="001C6C3C">
        <w:rPr>
          <w:rFonts w:ascii="GHEA Grapalat" w:hAnsi="GHEA Grapalat" w:cs="Sylfaen"/>
          <w:sz w:val="22"/>
          <w:szCs w:val="22"/>
          <w:lang w:val="ru-RU"/>
        </w:rPr>
        <w:t>в рамках</w:t>
      </w:r>
      <w:r>
        <w:rPr>
          <w:rFonts w:ascii="GHEA Grapalat" w:hAnsi="GHEA Grapalat" w:cs="Sylfaen"/>
          <w:sz w:val="22"/>
          <w:szCs w:val="22"/>
          <w:lang w:val="ru-RU"/>
        </w:rPr>
        <w:t xml:space="preserve"> программы</w:t>
      </w: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745597">
        <w:rPr>
          <w:rFonts w:ascii="Sylfaen" w:hAnsi="Sylfaen"/>
          <w:b/>
          <w:bCs/>
          <w:color w:val="000000"/>
          <w:sz w:val="22"/>
          <w:szCs w:val="22"/>
          <w:lang w:val="ru-RU"/>
        </w:rPr>
        <w:t>Сохранение и устойчивое управление земельными ресурсами и особо  ценными экосистемами в бассейне озера Севан для получения многочисленных выгод</w:t>
      </w:r>
      <w:r>
        <w:rPr>
          <w:rFonts w:ascii="Sylfaen" w:hAnsi="Sylfaen"/>
          <w:b/>
          <w:bCs/>
          <w:color w:val="000000"/>
          <w:sz w:val="22"/>
          <w:szCs w:val="22"/>
          <w:lang w:val="ru-RU"/>
        </w:rPr>
        <w:t xml:space="preserve">  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объявляет процедуру предварительной квалификации </w:t>
      </w:r>
      <w:r>
        <w:rPr>
          <w:rFonts w:ascii="GHEA Grapalat" w:hAnsi="GHEA Grapalat"/>
          <w:sz w:val="22"/>
          <w:szCs w:val="22"/>
          <w:lang w:val="ru-RU"/>
        </w:rPr>
        <w:t>открытого конкурса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по следующим лотам</w:t>
      </w:r>
    </w:p>
    <w:p w14:paraId="724A96D8" w14:textId="77777777" w:rsidR="004A4970" w:rsidRPr="00CA0534" w:rsidRDefault="004A4970" w:rsidP="004A4970">
      <w:pPr>
        <w:pStyle w:val="af3"/>
        <w:ind w:left="1418"/>
        <w:rPr>
          <w:rFonts w:ascii="GHEA Grapalat" w:hAnsi="GHEA Grapalat" w:cs="Calibri"/>
          <w:sz w:val="22"/>
          <w:szCs w:val="22"/>
        </w:rPr>
      </w:pP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7334"/>
      </w:tblGrid>
      <w:tr w:rsidR="004A4970" w:rsidRPr="00CA0534" w14:paraId="77DFDCB1" w14:textId="77777777" w:rsidTr="004A4970">
        <w:trPr>
          <w:trHeight w:val="20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9D3D5" w14:textId="1E631D00" w:rsidR="004A4970" w:rsidRPr="0084612A" w:rsidRDefault="0084612A">
            <w:pPr>
              <w:spacing w:line="256" w:lineRule="auto"/>
              <w:jc w:val="center"/>
              <w:rPr>
                <w:rFonts w:ascii="GHEA Grapalat" w:hAnsi="GHEA Grapalat" w:cs="Calibri"/>
                <w:b/>
                <w:kern w:val="2"/>
                <w:sz w:val="22"/>
                <w:szCs w:val="22"/>
                <w:lang w:val="ru-RU"/>
                <w14:ligatures w14:val="standardContextual"/>
              </w:rPr>
            </w:pPr>
            <w:r>
              <w:rPr>
                <w:rFonts w:ascii="GHEA Grapalat" w:hAnsi="GHEA Grapalat" w:cs="Calibri"/>
                <w:b/>
                <w:kern w:val="2"/>
                <w:sz w:val="22"/>
                <w:szCs w:val="22"/>
                <w:lang w:val="ru-RU"/>
                <w14:ligatures w14:val="standardContextual"/>
              </w:rPr>
              <w:t>Лоты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537D" w14:textId="27AF812E" w:rsidR="004A4970" w:rsidRPr="0084612A" w:rsidRDefault="0084612A" w:rsidP="00A37EF6">
            <w:pPr>
              <w:spacing w:line="256" w:lineRule="auto"/>
              <w:jc w:val="center"/>
              <w:rPr>
                <w:rFonts w:ascii="GHEA Grapalat" w:hAnsi="GHEA Grapalat" w:cs="Calibri"/>
                <w:b/>
                <w:kern w:val="2"/>
                <w:sz w:val="22"/>
                <w:szCs w:val="22"/>
                <w:lang w:val="ru-RU"/>
                <w14:ligatures w14:val="standardContextual"/>
              </w:rPr>
            </w:pPr>
            <w:r>
              <w:rPr>
                <w:rFonts w:ascii="GHEA Grapalat" w:hAnsi="GHEA Grapalat" w:cs="Calibri"/>
                <w:b/>
                <w:kern w:val="2"/>
                <w:sz w:val="22"/>
                <w:szCs w:val="22"/>
                <w:lang w:val="ru-RU"/>
                <w14:ligatures w14:val="standardContextual"/>
              </w:rPr>
              <w:t>Предмет закупки</w:t>
            </w:r>
          </w:p>
        </w:tc>
      </w:tr>
      <w:tr w:rsidR="004A4970" w:rsidRPr="00CA0534" w14:paraId="35747085" w14:textId="77777777" w:rsidTr="004A4970">
        <w:trPr>
          <w:trHeight w:val="476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25CEC" w14:textId="307F5304" w:rsidR="004A4970" w:rsidRPr="0084612A" w:rsidRDefault="0084612A">
            <w:pPr>
              <w:spacing w:line="256" w:lineRule="auto"/>
              <w:jc w:val="center"/>
              <w:rPr>
                <w:rFonts w:ascii="GHEA Grapalat" w:hAnsi="GHEA Grapalat" w:cs="Calibri"/>
                <w:kern w:val="2"/>
                <w:sz w:val="22"/>
                <w:szCs w:val="22"/>
                <w:lang w:val="ru-RU"/>
                <w14:ligatures w14:val="standardContextual"/>
              </w:rPr>
            </w:pPr>
            <w:r>
              <w:rPr>
                <w:rFonts w:ascii="GHEA Grapalat" w:hAnsi="GHEA Grapalat" w:cs="Calibri"/>
                <w:kern w:val="2"/>
                <w:sz w:val="22"/>
                <w:szCs w:val="22"/>
                <w:lang w:val="ru-RU"/>
                <w14:ligatures w14:val="standardContextual"/>
              </w:rPr>
              <w:t>Лот 1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B5DB" w14:textId="390EB56D" w:rsidR="004A4970" w:rsidRPr="00CA0534" w:rsidRDefault="006353BF" w:rsidP="006353BF">
            <w:pPr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sz w:val="22"/>
                <w:lang w:val="ru-RU"/>
              </w:rPr>
              <w:t>Услуги м</w:t>
            </w:r>
            <w:r>
              <w:rPr>
                <w:sz w:val="22"/>
              </w:rPr>
              <w:t>еждународн</w:t>
            </w:r>
            <w:r>
              <w:rPr>
                <w:sz w:val="22"/>
                <w:lang w:val="ru-RU"/>
              </w:rPr>
              <w:t>ого</w:t>
            </w:r>
            <w:r w:rsidRPr="000323D3">
              <w:rPr>
                <w:sz w:val="22"/>
              </w:rPr>
              <w:t xml:space="preserve"> </w:t>
            </w:r>
            <w:r w:rsidRPr="000323D3">
              <w:rPr>
                <w:sz w:val="22"/>
                <w:lang w:val="ru-RU"/>
              </w:rPr>
              <w:t>консультант</w:t>
            </w:r>
            <w:r>
              <w:rPr>
                <w:sz w:val="22"/>
                <w:lang w:val="ru-RU"/>
              </w:rPr>
              <w:t xml:space="preserve">а </w:t>
            </w:r>
            <w:r w:rsidRPr="000323D3">
              <w:rPr>
                <w:sz w:val="22"/>
              </w:rPr>
              <w:t xml:space="preserve"> по схеме агроэкологических платежей (AEPS)</w:t>
            </w:r>
          </w:p>
        </w:tc>
      </w:tr>
    </w:tbl>
    <w:p w14:paraId="4F0D6F9D" w14:textId="77777777" w:rsidR="004A4970" w:rsidRPr="00CA0534" w:rsidRDefault="004A4970" w:rsidP="004A4970">
      <w:pPr>
        <w:spacing w:line="252" w:lineRule="auto"/>
        <w:rPr>
          <w:rFonts w:ascii="GHEA Grapalat" w:hAnsi="GHEA Grapalat"/>
          <w:b/>
          <w:bCs/>
        </w:rPr>
        <w:sectPr w:rsidR="004A4970" w:rsidRPr="00CA0534" w:rsidSect="004A4970">
          <w:footerReference w:type="default" r:id="rId7"/>
          <w:pgSz w:w="11906" w:h="16838"/>
          <w:pgMar w:top="1008" w:right="926" w:bottom="630" w:left="1627" w:header="720" w:footer="144" w:gutter="0"/>
          <w:cols w:space="720"/>
        </w:sectPr>
      </w:pPr>
    </w:p>
    <w:p w14:paraId="26C1599D" w14:textId="77777777" w:rsidR="00825205" w:rsidRDefault="00825205" w:rsidP="00E53298">
      <w:pPr>
        <w:spacing w:after="120"/>
        <w:jc w:val="center"/>
        <w:rPr>
          <w:rFonts w:ascii="GHEA Grapalat" w:hAnsi="GHEA Grapalat" w:cs="Calibri"/>
          <w:b/>
          <w:bCs/>
          <w:sz w:val="20"/>
          <w:szCs w:val="20"/>
        </w:rPr>
      </w:pPr>
    </w:p>
    <w:p w14:paraId="56606431" w14:textId="77777777" w:rsidR="00CE12E3" w:rsidRPr="000323D3" w:rsidRDefault="00CE12E3" w:rsidP="00CE12E3">
      <w:pPr>
        <w:spacing w:before="240" w:after="240"/>
        <w:jc w:val="center"/>
        <w:rPr>
          <w:rFonts w:ascii="Calibri" w:hAnsi="Calibri" w:cs="Calibri"/>
          <w:sz w:val="28"/>
          <w:szCs w:val="28"/>
        </w:rPr>
      </w:pPr>
      <w:r w:rsidRPr="000323D3">
        <w:rPr>
          <w:sz w:val="28"/>
        </w:rPr>
        <w:t xml:space="preserve">Техническое задание для </w:t>
      </w:r>
      <w:r w:rsidRPr="000323D3">
        <w:rPr>
          <w:sz w:val="28"/>
          <w:lang w:val="ru-RU"/>
        </w:rPr>
        <w:t>международного</w:t>
      </w:r>
      <w:r w:rsidRPr="000323D3">
        <w:rPr>
          <w:sz w:val="28"/>
        </w:rPr>
        <w:t xml:space="preserve"> консультанта</w:t>
      </w:r>
    </w:p>
    <w:p w14:paraId="4AF080FE" w14:textId="77777777" w:rsidR="00CE12E3" w:rsidRPr="000323D3" w:rsidRDefault="00CE12E3" w:rsidP="00CE12E3">
      <w:pPr>
        <w:spacing w:before="240" w:after="240"/>
        <w:jc w:val="center"/>
        <w:rPr>
          <w:rFonts w:ascii="Calibri" w:hAnsi="Calibri" w:cs="Calibri"/>
          <w:sz w:val="28"/>
          <w:szCs w:val="28"/>
        </w:rPr>
      </w:pPr>
    </w:p>
    <w:p w14:paraId="07917E46" w14:textId="77777777" w:rsidR="00CE12E3" w:rsidRPr="000323D3" w:rsidRDefault="00CE12E3" w:rsidP="00CE12E3">
      <w:pPr>
        <w:spacing w:before="120" w:after="120"/>
        <w:rPr>
          <w:rFonts w:ascii="Calibri" w:hAnsi="Calibri" w:cs="Calibri"/>
          <w:bCs/>
          <w:sz w:val="22"/>
          <w:szCs w:val="22"/>
        </w:rPr>
      </w:pPr>
      <w:r w:rsidRPr="000323D3">
        <w:rPr>
          <w:sz w:val="22"/>
        </w:rPr>
        <w:t>Описание услуг/работ:</w:t>
      </w:r>
      <w:r w:rsidRPr="000323D3">
        <w:rPr>
          <w:sz w:val="22"/>
        </w:rPr>
        <w:tab/>
        <w:t xml:space="preserve">Международный </w:t>
      </w:r>
      <w:r w:rsidRPr="000323D3">
        <w:rPr>
          <w:sz w:val="22"/>
          <w:lang w:val="ru-RU"/>
        </w:rPr>
        <w:t>консультант</w:t>
      </w:r>
      <w:r w:rsidRPr="000323D3">
        <w:rPr>
          <w:sz w:val="22"/>
        </w:rPr>
        <w:t xml:space="preserve"> по схеме агроэкологических платежей (AEPS)</w:t>
      </w:r>
    </w:p>
    <w:p w14:paraId="73A5E96A" w14:textId="77777777" w:rsidR="00CE12E3" w:rsidRPr="000323D3" w:rsidRDefault="00CE12E3" w:rsidP="00CE12E3">
      <w:pPr>
        <w:spacing w:before="120" w:after="120"/>
        <w:ind w:left="2880" w:hanging="2880"/>
        <w:rPr>
          <w:rFonts w:ascii="Calibri" w:hAnsi="Calibri" w:cs="Calibri"/>
          <w:bCs/>
          <w:color w:val="000000"/>
          <w:sz w:val="22"/>
          <w:szCs w:val="22"/>
        </w:rPr>
      </w:pPr>
      <w:r w:rsidRPr="000323D3">
        <w:rPr>
          <w:sz w:val="22"/>
        </w:rPr>
        <w:t>Название проекта:</w:t>
      </w:r>
      <w:r w:rsidRPr="000323D3">
        <w:rPr>
          <w:sz w:val="22"/>
        </w:rPr>
        <w:tab/>
        <w:t>«Сохранение и устойчивое управление земельными ресурсами и экосистемами высокой ценности в бассейне озера Севан для получения множественных выгод»</w:t>
      </w:r>
    </w:p>
    <w:p w14:paraId="3EF88B3B" w14:textId="77777777" w:rsidR="00CE12E3" w:rsidRPr="000323D3" w:rsidRDefault="00CE12E3" w:rsidP="00CE12E3">
      <w:pPr>
        <w:pStyle w:val="af1"/>
        <w:spacing w:before="120"/>
        <w:ind w:left="2880" w:hanging="2880"/>
        <w:rPr>
          <w:rFonts w:ascii="Calibri" w:hAnsi="Calibri" w:cs="Calibri"/>
          <w:bCs/>
          <w:color w:val="000000"/>
          <w:sz w:val="22"/>
          <w:szCs w:val="22"/>
          <w:lang w:val="ru-RU"/>
        </w:rPr>
      </w:pPr>
      <w:r w:rsidRPr="000323D3">
        <w:rPr>
          <w:sz w:val="22"/>
          <w:lang w:val="ru-RU"/>
        </w:rPr>
        <w:t>Место выполнения:</w:t>
      </w:r>
      <w:r w:rsidRPr="000323D3">
        <w:rPr>
          <w:sz w:val="22"/>
          <w:lang w:val="ru-RU"/>
        </w:rPr>
        <w:tab/>
        <w:t>Удаленно, с командировками в Армению, в офлайн- и онлайн-формате</w:t>
      </w:r>
    </w:p>
    <w:p w14:paraId="60023CDC" w14:textId="77777777" w:rsidR="00CE12E3" w:rsidRPr="000323D3" w:rsidRDefault="00CE12E3" w:rsidP="00CE12E3">
      <w:pPr>
        <w:spacing w:before="120" w:after="120"/>
        <w:ind w:left="2880" w:hanging="2880"/>
        <w:rPr>
          <w:rFonts w:ascii="Calibri" w:hAnsi="Calibri" w:cs="Calibri"/>
          <w:sz w:val="22"/>
          <w:szCs w:val="22"/>
          <w:u w:val="single"/>
        </w:rPr>
      </w:pPr>
      <w:r w:rsidRPr="000323D3">
        <w:rPr>
          <w:sz w:val="22"/>
        </w:rPr>
        <w:t>Продолжительность:</w:t>
      </w:r>
      <w:r w:rsidRPr="000323D3">
        <w:rPr>
          <w:sz w:val="22"/>
        </w:rPr>
        <w:tab/>
        <w:t>Консультант будет привлечен на краткосрочной основе на срок до 30 рабочих дней в течение 12-месячного периода</w:t>
      </w:r>
    </w:p>
    <w:p w14:paraId="50E5A960" w14:textId="77777777" w:rsidR="00CE12E3" w:rsidRPr="000323D3" w:rsidRDefault="00CE12E3" w:rsidP="00CE12E3">
      <w:pPr>
        <w:spacing w:before="120" w:after="120"/>
        <w:rPr>
          <w:rFonts w:ascii="Arial" w:hAnsi="Arial"/>
          <w:sz w:val="22"/>
          <w:u w:val="single"/>
        </w:rPr>
      </w:pPr>
      <w:r w:rsidRPr="000323D3">
        <w:rPr>
          <w:sz w:val="22"/>
          <w:u w:val="single"/>
        </w:rPr>
        <w:t>Желаемая дата начала     с даты подписания контракта</w:t>
      </w:r>
    </w:p>
    <w:p w14:paraId="159F9F78" w14:textId="77777777" w:rsidR="00CE12E3" w:rsidRPr="000323D3" w:rsidRDefault="00CE12E3" w:rsidP="00CE12E3">
      <w:pPr>
        <w:spacing w:before="120" w:after="120"/>
        <w:rPr>
          <w:rFonts w:ascii="Arial" w:hAnsi="Arial"/>
          <w:sz w:val="22"/>
          <w:u w:val="single"/>
        </w:rPr>
      </w:pPr>
    </w:p>
    <w:p w14:paraId="27B57F09" w14:textId="77777777" w:rsidR="00CE12E3" w:rsidRPr="000323D3" w:rsidRDefault="00CE12E3" w:rsidP="00CE12E3">
      <w:pPr>
        <w:spacing w:before="120" w:after="120"/>
        <w:rPr>
          <w:rFonts w:cs="Calibri"/>
          <w:bCs/>
        </w:rPr>
      </w:pPr>
      <w:r w:rsidRPr="000323D3">
        <w:t>ИСХОДНАЯ ИНФОРМАЦИЯ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28"/>
      </w:tblGrid>
      <w:tr w:rsidR="00CE12E3" w:rsidRPr="000323D3" w14:paraId="47BAC9B6" w14:textId="77777777" w:rsidTr="00920493">
        <w:trPr>
          <w:trHeight w:val="485"/>
        </w:trPr>
        <w:tc>
          <w:tcPr>
            <w:tcW w:w="9828" w:type="dxa"/>
          </w:tcPr>
          <w:p w14:paraId="78D737D6" w14:textId="77777777" w:rsidR="00CE12E3" w:rsidRPr="000323D3" w:rsidRDefault="00CE12E3" w:rsidP="00920493">
            <w:pPr>
              <w:pStyle w:val="Normal1"/>
              <w:spacing w:before="0" w:beforeAutospacing="0" w:after="0"/>
              <w:rPr>
                <w:rFonts w:cs="Calibri"/>
                <w:kern w:val="2"/>
                <w:lang w:val="ru-RU" w:eastAsia="zh-CN"/>
              </w:rPr>
            </w:pPr>
            <w:r w:rsidRPr="000323D3">
              <w:rPr>
                <w:lang w:val="ru-RU"/>
              </w:rPr>
              <w:t>Финансируемый ПРООН–ГЭФ проект «Сохранение и устойчивое управление земельными ресурсами и экосистемами высокой ценности в бассейне озера Севан для получения множественных выгод» направлен на продвижение нейтральности деградации земель (</w:t>
            </w:r>
            <w:r w:rsidRPr="000323D3">
              <w:t>LDN</w:t>
            </w:r>
            <w:r w:rsidRPr="000323D3">
              <w:rPr>
                <w:lang w:val="ru-RU"/>
              </w:rPr>
              <w:t>), укрепление сохранения биоразнообразия и поддержку устойчивых источников средств к существованию в бассейне озера Севан в Армении посредством интегрированного ландшафтного подхода. Проект поддерживает обязательства Армении в рамках Конвенции ООН по борьбе с опустыниванием (</w:t>
            </w:r>
            <w:r w:rsidRPr="000323D3">
              <w:t>UNCCD</w:t>
            </w:r>
            <w:r w:rsidRPr="000323D3">
              <w:rPr>
                <w:lang w:val="ru-RU"/>
              </w:rPr>
              <w:t>) и Конвенции о биологическом разнообразии (</w:t>
            </w:r>
            <w:r w:rsidRPr="000323D3">
              <w:t>CBD</w:t>
            </w:r>
            <w:r w:rsidRPr="000323D3">
              <w:rPr>
                <w:lang w:val="ru-RU"/>
              </w:rPr>
              <w:t>).</w:t>
            </w:r>
          </w:p>
          <w:p w14:paraId="7385F617" w14:textId="77777777" w:rsidR="00CE12E3" w:rsidRPr="000323D3" w:rsidRDefault="00CE12E3" w:rsidP="00920493">
            <w:pPr>
              <w:pStyle w:val="Normal1"/>
              <w:spacing w:before="0" w:beforeAutospacing="0" w:after="0"/>
              <w:rPr>
                <w:rFonts w:cs="Calibri"/>
                <w:kern w:val="2"/>
                <w:lang w:val="ru-RU" w:eastAsia="zh-CN"/>
              </w:rPr>
            </w:pPr>
            <w:r w:rsidRPr="000323D3">
              <w:rPr>
                <w:lang w:val="ru-RU"/>
              </w:rPr>
              <w:t>В рамках данного подхода проект предусматривает разработку и пилотное внедрение Схемы агроэкологических платежей (</w:t>
            </w:r>
            <w:r w:rsidRPr="000323D3">
              <w:t>AEPS</w:t>
            </w:r>
            <w:r w:rsidRPr="000323D3">
              <w:rPr>
                <w:lang w:val="ru-RU"/>
              </w:rPr>
              <w:t xml:space="preserve">) как стимулирующего механизма, призванного побудить фермеров и местные сообщества применять устойчивые методы управления земельными ресурсами, благоприятные для биоразнообразия и совместимые с </w:t>
            </w:r>
            <w:r w:rsidRPr="000323D3">
              <w:t>LDN</w:t>
            </w:r>
            <w:r w:rsidRPr="000323D3">
              <w:rPr>
                <w:lang w:val="ru-RU"/>
              </w:rPr>
              <w:t xml:space="preserve">, при обеспечении экономической эффективности, институциональной осуществимости и долгосрочной устойчивости. Ожидается, что </w:t>
            </w:r>
            <w:r w:rsidRPr="000323D3">
              <w:t>AEPS</w:t>
            </w:r>
            <w:r w:rsidRPr="000323D3">
              <w:rPr>
                <w:lang w:val="ru-RU"/>
              </w:rPr>
              <w:t xml:space="preserve"> будет экологически эффективной, социально инклюзивной и масштабируемой на национальном уровне.</w:t>
            </w:r>
          </w:p>
          <w:p w14:paraId="753EB92D" w14:textId="77777777" w:rsidR="00CE12E3" w:rsidRPr="000323D3" w:rsidRDefault="00CE12E3" w:rsidP="00920493">
            <w:pPr>
              <w:pStyle w:val="Normal1"/>
              <w:spacing w:before="0" w:beforeAutospacing="0" w:after="0"/>
              <w:rPr>
                <w:rFonts w:cs="Calibri"/>
                <w:kern w:val="2"/>
                <w:lang w:val="ru-RU" w:eastAsia="zh-CN"/>
              </w:rPr>
            </w:pPr>
            <w:r w:rsidRPr="000323D3">
              <w:rPr>
                <w:lang w:val="ru-RU"/>
              </w:rPr>
              <w:t>Пятилетний проект (2024–2028 гг.) охватит Гегаркуникскую и Вайоцдзорскую области, с демонстрационными площадками в общинах Мартуни, Варденис, Шогакат, Ехегис, Вайк и Джермук. Он будет направлен на устранение прямых факторов деградации земель и утраты биоразнообразия посредством устойчивых методов сельского хозяйства и управления земельными ресурсами, а также на апробацию схемы агроэкологических платежей и дополнительных мер в тесном сотрудничестве с национальными партнерами. В проекте особое внимание уделяется местным сообществам за счет стимулирования перехода от разрушительных практик к улучшению связности экосистем и коридоров миграции диких животных.</w:t>
            </w:r>
          </w:p>
          <w:p w14:paraId="0252F80D" w14:textId="77777777" w:rsidR="00CE12E3" w:rsidRPr="000323D3" w:rsidRDefault="00CE12E3" w:rsidP="00920493">
            <w:pPr>
              <w:pStyle w:val="Normal1"/>
              <w:spacing w:before="0" w:beforeAutospacing="0" w:after="0"/>
              <w:rPr>
                <w:rFonts w:cs="Calibri"/>
                <w:kern w:val="2"/>
                <w:lang w:val="ru-RU" w:eastAsia="zh-CN"/>
              </w:rPr>
            </w:pPr>
            <w:r w:rsidRPr="000323D3">
              <w:rPr>
                <w:lang w:val="ru-RU"/>
              </w:rPr>
              <w:t>Проект организован по четырем компонентам и связанным с ними результатам, направленным на поддержку условий, необходимых для эффективной охраны и устойчивого управления земельными, водными и биологическими ресурсами на ландшафтном уровне.</w:t>
            </w:r>
          </w:p>
          <w:p w14:paraId="4402B236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Компонент 1. Продвижение нейтральности деградации земель (LDN) в ландшафте бассейна озера Севан для повышения продуктивности и экологической устойчивости</w:t>
            </w:r>
          </w:p>
          <w:p w14:paraId="367B90E5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Результат 1.1. LDN в Гегаркуникской и Вайоцдзорской областях продвигается посредством интегрированных межсекторальных ландшафтных подходов.</w:t>
            </w:r>
          </w:p>
          <w:p w14:paraId="3D72726A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 xml:space="preserve">Этот компонент поддержит Гегаркуникскую и Вайоцдзорскую области в определении добровольных целевых показателей LDN, которые вносят вклад в национальную цель Армении по LDN, установленную постановлением Правительства об утверждении национальной программы LDN. Он дополнит текущие усилия правительства путем продвижения подходов, согласованных с LDN, в </w:t>
            </w:r>
            <w:r w:rsidRPr="000323D3">
              <w:rPr>
                <w:sz w:val="22"/>
              </w:rPr>
              <w:lastRenderedPageBreak/>
              <w:t>общинах бассейна озера Севан через интегрированное планирование землепользования, одновременно усиливая учет вопросов биоразнообразия на прилегающих территориях. Компонент направлен на перевод 165 800 га под устойчивые методы управления земельными ресурсами, совместимые с LDN, включая 150 000 га пастбищ, 8 000 га лесов и 10 000 га пахотных земель.</w:t>
            </w:r>
          </w:p>
          <w:p w14:paraId="6A9C2273" w14:textId="77777777" w:rsidR="00CE12E3" w:rsidRPr="000323D3" w:rsidRDefault="00CE12E3" w:rsidP="00920493">
            <w:pPr>
              <w:spacing w:before="80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</w:p>
          <w:p w14:paraId="02E27CBC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Компонент 2. Обеспечение сохранения биоразнообразия и критически важных местообитаний для предотвращения ухудшения экосистемных услуг в пределах ландшафта бассейна озера Севан</w:t>
            </w:r>
          </w:p>
          <w:p w14:paraId="45D7DB70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Результат 2.1. Состояние биоразнообразия в Национальном парке «Севан» (147 456 га) обеспечено за счет укрепления потенциала охраняемой территории для реагирования на ключевые угрозы глобально значимым видам и местообитаниям в пределах ООПТ/ключевой территории биоразнообразия (PA/KBA), являющейся опорой ландшафта бассейна озера Севан.</w:t>
            </w:r>
          </w:p>
          <w:p w14:paraId="050A38CD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br/>
              <w:t>Результат 2.2. Проведены оценки сохранения биоразнообразия и предложены механизмы для горячих точек биоразнообразия в ландшафте бассейна озера Севан за пределами охраняемой территории.</w:t>
            </w:r>
          </w:p>
          <w:p w14:paraId="7431C42C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Этот компонент основан на двух взаимодополняющих подходах:</w:t>
            </w:r>
          </w:p>
          <w:p w14:paraId="343FB290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(i) сохранение экологической целостности ключевых видов и высокоценных местообитаний в Национальном парке «Севан», который является опорой более широкого ландшафта бассейна озера Севан; и</w:t>
            </w:r>
          </w:p>
          <w:p w14:paraId="0AB20B6B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br/>
              <w:t>(ii) учет ценностей биоразнообразия в окружающем производственном ландшафте и содействие их интеграции в более широкое управление ландшафтом, тем самым поддерживая экосистемные услуги, от которых зависят средства к существованию местного населения. Проект укрепит соответствующие органы посредством обучения и практической поддержки для применения протоколов мониторинга местообитаний и улучшения научно обоснованного управления биоразнообразием.</w:t>
            </w:r>
          </w:p>
          <w:p w14:paraId="6B6CB7D3" w14:textId="77777777" w:rsidR="00CE12E3" w:rsidRPr="000323D3" w:rsidRDefault="00CE12E3" w:rsidP="00920493">
            <w:pPr>
              <w:spacing w:before="80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</w:p>
          <w:p w14:paraId="44D4FD15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Компонент 3. Продвижение устойчивого, благоприятного для биоразнообразия экономического развития и стимулирующих механизмов для местных сообществ в ландшафте бассейна озера Севан</w:t>
            </w:r>
          </w:p>
          <w:p w14:paraId="39FDE9F8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Результат 3.1. В производственном ландшафте Севана продвигаются практики устойчивого управления земельными ресурсами (SLM), благоприятные для биоразнообразия и совместимые с LDN.</w:t>
            </w:r>
          </w:p>
          <w:p w14:paraId="5D0592AD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Проект будет продвигать природоположительные решения в пределах и вокруг охраняемых территорий, ключевых территорий биоразнообразия (KBAs), важных орнитологических территорий (IBAs) и зон экологических коридоров путем предоставления финансовых стимулов для внедрения чувствительных к биоразнообразию и совместимых с LDN мер SLM для достижения LDN. Эти меры будут разработаны и поддержаны в соответствии с интегрированными пространственными планами и планами землепользования (ISLUPs) и оценками LDN, обеспечивая согласованность между стимулами, приоритетами землепользования и измеримыми экологическими результатами.</w:t>
            </w:r>
          </w:p>
          <w:p w14:paraId="39D8F0E8" w14:textId="77777777" w:rsidR="00CE12E3" w:rsidRPr="000323D3" w:rsidRDefault="00CE12E3" w:rsidP="00920493">
            <w:pPr>
              <w:spacing w:before="80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</w:p>
          <w:p w14:paraId="529ECA00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Компонент 4. Управление знаниями и обучение</w:t>
            </w:r>
          </w:p>
          <w:p w14:paraId="30B8340C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Результат 4.1. Лучшие практики и извлеченные уроки документируются, распространяются и применяются в других производственных ландшафтах и микробассейнах в Армении и регионе.</w:t>
            </w:r>
          </w:p>
          <w:p w14:paraId="25B1863B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Этот компонент обеспечит систематический сбор инструментов, подходов и доказательной базы, сформированных проектом, и их преобразование в практические продукты знаний. Он будет способствовать обучению, тиражированию и масштабированию, делая лучшие практики доступными для соответствующих заинтересованных сторон и поддерживая их применение в других ландшафтах и микробассейнах на национальном и региональном уровнях.</w:t>
            </w:r>
          </w:p>
          <w:p w14:paraId="26773F0E" w14:textId="77777777" w:rsidR="00CE12E3" w:rsidRPr="000323D3" w:rsidRDefault="00CE12E3" w:rsidP="00920493">
            <w:pPr>
              <w:spacing w:before="80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</w:tbl>
    <w:p w14:paraId="63D92BD9" w14:textId="77777777" w:rsidR="00CE12E3" w:rsidRPr="000323D3" w:rsidRDefault="00CE12E3" w:rsidP="007D250D">
      <w:pPr>
        <w:pStyle w:val="Normal1"/>
        <w:numPr>
          <w:ilvl w:val="0"/>
          <w:numId w:val="2"/>
        </w:numPr>
        <w:spacing w:before="480" w:beforeAutospacing="0" w:after="120"/>
        <w:ind w:left="274" w:hanging="274"/>
        <w:rPr>
          <w:rFonts w:cs="Calibri"/>
          <w:bCs/>
        </w:rPr>
      </w:pPr>
      <w:r w:rsidRPr="000323D3">
        <w:lastRenderedPageBreak/>
        <w:t>ЦЕЛЬ ЗАДАНИЯ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28"/>
      </w:tblGrid>
      <w:tr w:rsidR="00CE12E3" w:rsidRPr="000323D3" w14:paraId="756773A9" w14:textId="77777777" w:rsidTr="00920493">
        <w:trPr>
          <w:trHeight w:val="264"/>
        </w:trPr>
        <w:tc>
          <w:tcPr>
            <w:tcW w:w="9828" w:type="dxa"/>
          </w:tcPr>
          <w:p w14:paraId="1D7410C8" w14:textId="77777777" w:rsidR="00CE12E3" w:rsidRPr="000323D3" w:rsidRDefault="00CE12E3" w:rsidP="00920493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0323D3">
              <w:rPr>
                <w:sz w:val="22"/>
              </w:rPr>
              <w:t xml:space="preserve">Цель настоящего задания — предоставить высокоуровневую техническую экспертизу Государственному агентству «Офис реализации экологических проектов» (EPIU SA) и Команде </w:t>
            </w:r>
            <w:r w:rsidRPr="000323D3">
              <w:rPr>
                <w:sz w:val="22"/>
              </w:rPr>
              <w:lastRenderedPageBreak/>
              <w:t>проекта для поддержки разработки, контекстной адаптации, пилотного внедрения и формирования пути масштабирования Схемы агроэкологических платежей (AEPS) в Армении в соответствии с требованиями ПРООН–ГЭФ, международной передовой практикой, а также национальной правовой и институциональной базой. Проектный документ доступен для скачивания по следующей ссылке:</w:t>
            </w:r>
          </w:p>
          <w:p w14:paraId="08B4802F" w14:textId="77777777" w:rsidR="00CE12E3" w:rsidRPr="000323D3" w:rsidRDefault="00CE12E3" w:rsidP="00920493">
            <w:pPr>
              <w:pStyle w:val="af1"/>
              <w:spacing w:after="0"/>
              <w:ind w:right="101"/>
              <w:rPr>
                <w:rFonts w:ascii="Calibri" w:hAnsi="Calibri" w:cs="Calibri"/>
                <w:sz w:val="22"/>
                <w:szCs w:val="22"/>
                <w:lang w:val="hy-AM"/>
              </w:rPr>
            </w:pPr>
            <w:r w:rsidRPr="000323D3">
              <w:rPr>
                <w:sz w:val="20"/>
                <w:lang w:val="hy-AM"/>
              </w:rPr>
              <w:t>(</w:t>
            </w:r>
            <w:hyperlink r:id="rId8" w:history="1">
              <w:r w:rsidRPr="000323D3">
                <w:rPr>
                  <w:rStyle w:val="af0"/>
                  <w:sz w:val="20"/>
                  <w:lang w:val="hy-AM"/>
                </w:rPr>
                <w:t>https://www.undp.org/armenia/publications/conservation-and-sustainable-management-land-resources-and-high-value-ecosystems-lake-sevan-basin-multiple-benefits</w:t>
              </w:r>
            </w:hyperlink>
            <w:r w:rsidRPr="000323D3">
              <w:rPr>
                <w:sz w:val="20"/>
                <w:lang w:val="hy-AM"/>
              </w:rPr>
              <w:t xml:space="preserve">)   </w:t>
            </w:r>
          </w:p>
          <w:p w14:paraId="0FA62F0B" w14:textId="77777777" w:rsidR="00CE12E3" w:rsidRPr="000323D3" w:rsidRDefault="00CE12E3" w:rsidP="00920493">
            <w:pPr>
              <w:pStyle w:val="Normal1"/>
              <w:spacing w:before="40" w:beforeAutospacing="0" w:after="40" w:line="240" w:lineRule="auto"/>
              <w:jc w:val="both"/>
              <w:rPr>
                <w:rFonts w:cs="Calibri"/>
                <w:kern w:val="2"/>
                <w:lang w:val="hy-AM" w:eastAsia="zh-CN"/>
              </w:rPr>
            </w:pPr>
          </w:p>
        </w:tc>
      </w:tr>
    </w:tbl>
    <w:p w14:paraId="1CCD2337" w14:textId="77777777" w:rsidR="00CE12E3" w:rsidRPr="000323D3" w:rsidRDefault="00CE12E3" w:rsidP="007D250D">
      <w:pPr>
        <w:pStyle w:val="Normal1"/>
        <w:numPr>
          <w:ilvl w:val="0"/>
          <w:numId w:val="2"/>
        </w:numPr>
        <w:spacing w:before="480" w:beforeAutospacing="0" w:after="120"/>
        <w:ind w:left="180" w:right="-180" w:hanging="270"/>
        <w:rPr>
          <w:rFonts w:cs="Calibri"/>
          <w:bCs/>
        </w:rPr>
      </w:pPr>
      <w:r w:rsidRPr="000323D3">
        <w:rPr>
          <w:lang w:val="hy-AM"/>
        </w:rPr>
        <w:lastRenderedPageBreak/>
        <w:t> </w:t>
      </w:r>
      <w:r w:rsidRPr="000323D3">
        <w:t xml:space="preserve">КОНКРЕТНЫЕ ОБЯЗАННОСТИ И ОТВЕТСТВЕННОСТЬ </w:t>
      </w:r>
    </w:p>
    <w:tbl>
      <w:tblPr>
        <w:tblStyle w:val="ad"/>
        <w:tblW w:w="10103" w:type="dxa"/>
        <w:tblInd w:w="-5" w:type="dxa"/>
        <w:tblLook w:val="04A0" w:firstRow="1" w:lastRow="0" w:firstColumn="1" w:lastColumn="0" w:noHBand="0" w:noVBand="1"/>
      </w:tblPr>
      <w:tblGrid>
        <w:gridCol w:w="10103"/>
      </w:tblGrid>
      <w:tr w:rsidR="00CE12E3" w:rsidRPr="000323D3" w14:paraId="0CA248E7" w14:textId="77777777" w:rsidTr="00920493">
        <w:tc>
          <w:tcPr>
            <w:tcW w:w="10103" w:type="dxa"/>
          </w:tcPr>
          <w:p w14:paraId="04CCC289" w14:textId="77777777" w:rsidR="00CE12E3" w:rsidRPr="000323D3" w:rsidRDefault="00CE12E3" w:rsidP="00920493">
            <w:p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</w:rPr>
            </w:pPr>
            <w:r w:rsidRPr="000323D3">
              <w:rPr>
                <w:sz w:val="22"/>
              </w:rPr>
              <w:t xml:space="preserve">     Под общим руководством и надзором Менеджера проекта Международный консультант  </w:t>
            </w:r>
          </w:p>
          <w:p w14:paraId="3E4FB52C" w14:textId="77777777" w:rsidR="00CE12E3" w:rsidRPr="000323D3" w:rsidRDefault="00CE12E3" w:rsidP="00920493">
            <w:p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</w:rPr>
            </w:pPr>
            <w:r w:rsidRPr="000323D3">
              <w:rPr>
                <w:sz w:val="22"/>
              </w:rPr>
              <w:t xml:space="preserve">     будет содействовать достижению соответствующих результатов проекта и будет отвечать за выполнение следующих задач:</w:t>
            </w:r>
          </w:p>
          <w:p w14:paraId="12E623B1" w14:textId="77777777" w:rsidR="00CE12E3" w:rsidRPr="000323D3" w:rsidRDefault="00CE12E3" w:rsidP="007D250D">
            <w:pPr>
              <w:numPr>
                <w:ilvl w:val="0"/>
                <w:numId w:val="8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Провести обзор и доработку существующей концепции AEPS (см. Приложение 1) и адаптировать ее к правовому, институциональному, экологическому и социально-экономическому контексту Армении.</w:t>
            </w:r>
          </w:p>
          <w:p w14:paraId="21F3F473" w14:textId="77777777" w:rsidR="00CE12E3" w:rsidRPr="000323D3" w:rsidRDefault="00CE12E3" w:rsidP="007D250D">
            <w:pPr>
              <w:numPr>
                <w:ilvl w:val="0"/>
                <w:numId w:val="8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Оценить и рекомендовать наиболее подходящую модель платежей (основанную на действиях, результатах или гибридную), включая критерии приемлемости, методологии расчета платежей и механизмы соблюдения требований.</w:t>
            </w:r>
          </w:p>
          <w:p w14:paraId="26F5ADA1" w14:textId="77777777" w:rsidR="00CE12E3" w:rsidRPr="000323D3" w:rsidRDefault="00CE12E3" w:rsidP="007D250D">
            <w:pPr>
              <w:numPr>
                <w:ilvl w:val="0"/>
                <w:numId w:val="8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Обеспечить согласование AEPS с Социальными и экологическими стандартами ПРООН (SES) и внести вклад в соответствующие процессы SESA/ESMF, по мере применимости, включая разработку контрольного списка скрининга SES для AEPS и списка исключений.</w:t>
            </w:r>
          </w:p>
          <w:p w14:paraId="3A12C8C3" w14:textId="77777777" w:rsidR="00CE12E3" w:rsidRPr="000323D3" w:rsidRDefault="00CE12E3" w:rsidP="007D250D">
            <w:pPr>
              <w:numPr>
                <w:ilvl w:val="0"/>
                <w:numId w:val="8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Разработать экономически эффективную и соответствующую контексту систему мониторинга, отчетности и верификации (MRV), объединяющую полевой мониторинг и дистанционное зондирование там, где это возможно.</w:t>
            </w:r>
          </w:p>
          <w:p w14:paraId="7DACC16B" w14:textId="77777777" w:rsidR="00CE12E3" w:rsidRPr="000323D3" w:rsidRDefault="00CE12E3" w:rsidP="007D250D">
            <w:pPr>
              <w:numPr>
                <w:ilvl w:val="0"/>
                <w:numId w:val="8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323D3">
              <w:rPr>
                <w:sz w:val="22"/>
              </w:rPr>
              <w:t>Предоставлять техническую консультативную поддержку для разработки и пилотирования AEPS в выбранных проектных общинах. Это будет включать:</w:t>
            </w:r>
          </w:p>
          <w:p w14:paraId="67852B3E" w14:textId="77777777" w:rsidR="00CE12E3" w:rsidRPr="000323D3" w:rsidRDefault="00CE12E3" w:rsidP="007D250D">
            <w:pPr>
              <w:pStyle w:val="a7"/>
              <w:numPr>
                <w:ilvl w:val="0"/>
                <w:numId w:val="11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технический вклад в процессы консультаций с заинтересованными сторонами, проводимые Командой проекта,</w:t>
            </w:r>
          </w:p>
          <w:p w14:paraId="7AD8CFA6" w14:textId="77777777" w:rsidR="00CE12E3" w:rsidRPr="000323D3" w:rsidRDefault="00CE12E3" w:rsidP="007D250D">
            <w:pPr>
              <w:pStyle w:val="a7"/>
              <w:numPr>
                <w:ilvl w:val="0"/>
                <w:numId w:val="11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консультационный вклад в коммуникационные подходы в пилотных общинах,</w:t>
            </w:r>
          </w:p>
          <w:p w14:paraId="6AA3033F" w14:textId="77777777" w:rsidR="00CE12E3" w:rsidRPr="000323D3" w:rsidRDefault="00CE12E3" w:rsidP="007D250D">
            <w:pPr>
              <w:pStyle w:val="a7"/>
              <w:numPr>
                <w:ilvl w:val="0"/>
                <w:numId w:val="11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а также технический вклад в разработку специфических для AEPS механизмов рассмотрения жалоб и апелляций, связанных с механизмом рассмотрения жалоб Проекта (GRM).</w:t>
            </w:r>
          </w:p>
          <w:p w14:paraId="0AC0701E" w14:textId="77777777" w:rsidR="00CE12E3" w:rsidRPr="000323D3" w:rsidRDefault="00CE12E3" w:rsidP="007D250D">
            <w:pPr>
              <w:numPr>
                <w:ilvl w:val="0"/>
                <w:numId w:val="8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Разработать Операционное руководство AEPS (для использования Командой проекта и национальными заинтересованными сторонами) и основные шаблоны (формы заявок, соглашения об участии, расчетные листы платежей, инструменты верификации и процедуры при несоблюдении требований).</w:t>
            </w:r>
          </w:p>
          <w:p w14:paraId="1399D56A" w14:textId="77777777" w:rsidR="00CE12E3" w:rsidRPr="000323D3" w:rsidRDefault="00CE12E3" w:rsidP="007D250D">
            <w:pPr>
              <w:numPr>
                <w:ilvl w:val="0"/>
                <w:numId w:val="8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Предоставлять технические рекомендации и обеспечивать передачу знаний национальным институтам и экспертам проекта, включая вклад в мероприятия по подготовке тренеров.</w:t>
            </w:r>
          </w:p>
          <w:p w14:paraId="0F9D04EC" w14:textId="77777777" w:rsidR="00CE12E3" w:rsidRPr="000323D3" w:rsidRDefault="00CE12E3" w:rsidP="007D250D">
            <w:pPr>
              <w:numPr>
                <w:ilvl w:val="0"/>
                <w:numId w:val="8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Провести финансовый и экономический анализ для оценки экономической эффективности, бюджетных последствий и устойчивости AEPS.</w:t>
            </w:r>
          </w:p>
          <w:p w14:paraId="15D29B2B" w14:textId="77777777" w:rsidR="00CE12E3" w:rsidRPr="000323D3" w:rsidRDefault="00CE12E3" w:rsidP="007D250D">
            <w:pPr>
              <w:numPr>
                <w:ilvl w:val="0"/>
                <w:numId w:val="8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Разработать стратегию масштабирования и институционализации AEPS на национальном уровне, включая варианты финансирования и пути интеграции в политику.</w:t>
            </w:r>
          </w:p>
          <w:p w14:paraId="4B977465" w14:textId="77777777" w:rsidR="00CE12E3" w:rsidRPr="000323D3" w:rsidRDefault="00CE12E3" w:rsidP="007D250D">
            <w:pPr>
              <w:numPr>
                <w:ilvl w:val="0"/>
                <w:numId w:val="8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323D3">
              <w:rPr>
                <w:sz w:val="22"/>
              </w:rPr>
              <w:t>Предоставлять технический вклад в презентации, тренинги и мероприятия по повышению осведомленности, по мере необходимости. Более конкретно, будет содействовать достижению результатов 1.1.1/1.1.4/3.1.1).</w:t>
            </w:r>
          </w:p>
          <w:p w14:paraId="0C59343D" w14:textId="77777777" w:rsidR="00CE12E3" w:rsidRPr="000323D3" w:rsidRDefault="00CE12E3" w:rsidP="00920493">
            <w:pPr>
              <w:tabs>
                <w:tab w:val="left" w:pos="345"/>
              </w:tabs>
              <w:spacing w:before="8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535D110" w14:textId="77777777" w:rsidR="00CE12E3" w:rsidRPr="000323D3" w:rsidRDefault="00CE12E3" w:rsidP="00920493">
            <w:pPr>
              <w:tabs>
                <w:tab w:val="left" w:pos="345"/>
              </w:tabs>
              <w:spacing w:after="8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48D38395" w14:textId="77777777" w:rsidR="00CE12E3" w:rsidRPr="000323D3" w:rsidRDefault="00CE12E3" w:rsidP="007D250D">
      <w:pPr>
        <w:pStyle w:val="Normal1"/>
        <w:numPr>
          <w:ilvl w:val="0"/>
          <w:numId w:val="2"/>
        </w:numPr>
        <w:spacing w:before="480" w:beforeAutospacing="0" w:after="120"/>
        <w:ind w:left="180" w:right="-180" w:hanging="270"/>
        <w:rPr>
          <w:rFonts w:cs="Calibri"/>
          <w:bCs/>
        </w:rPr>
      </w:pPr>
      <w:r w:rsidRPr="000323D3">
        <w:t xml:space="preserve"> ОЖИДАЕМЫЕ РЕЗУЛЬТАТЫ </w:t>
      </w:r>
    </w:p>
    <w:p w14:paraId="756BD7C6" w14:textId="77777777" w:rsidR="00CE12E3" w:rsidRPr="000323D3" w:rsidRDefault="00CE12E3" w:rsidP="00CE12E3">
      <w:pPr>
        <w:tabs>
          <w:tab w:val="left" w:pos="360"/>
        </w:tabs>
        <w:spacing w:before="120" w:after="120"/>
        <w:rPr>
          <w:rFonts w:ascii="Calibri" w:hAnsi="Calibri" w:cs="Calibri"/>
          <w:sz w:val="22"/>
          <w:szCs w:val="22"/>
        </w:rPr>
      </w:pPr>
      <w:r w:rsidRPr="000323D3">
        <w:rPr>
          <w:sz w:val="22"/>
        </w:rPr>
        <w:t>Международный консультант отвечает за обеспечение следующих результатов в течение 2026 года:</w:t>
      </w:r>
    </w:p>
    <w:tbl>
      <w:tblPr>
        <w:tblStyle w:val="-4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  <w:gridCol w:w="5367"/>
        <w:gridCol w:w="1349"/>
        <w:gridCol w:w="1987"/>
        <w:gridCol w:w="550"/>
      </w:tblGrid>
      <w:tr w:rsidR="00CE12E3" w:rsidRPr="000323D3" w14:paraId="5C34029A" w14:textId="77777777" w:rsidTr="00920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1AF4E" w14:textId="77777777" w:rsidR="00CE12E3" w:rsidRPr="00E507CA" w:rsidRDefault="00CE12E3" w:rsidP="00920493">
            <w:pPr>
              <w:tabs>
                <w:tab w:val="left" w:pos="360"/>
              </w:tabs>
              <w:spacing w:before="120" w:after="120"/>
              <w:rPr>
                <w:rFonts w:ascii="Arial" w:hAnsi="Arial" w:cs="Calibri"/>
                <w:b w:val="0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F1E3A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20"/>
                <w:szCs w:val="20"/>
                <w:lang w:val="en-US"/>
              </w:rPr>
            </w:pPr>
            <w:r w:rsidRPr="000323D3">
              <w:rPr>
                <w:b w:val="0"/>
                <w:color w:val="auto"/>
                <w:sz w:val="20"/>
              </w:rPr>
              <w:t>Результаты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75736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20"/>
                <w:szCs w:val="20"/>
                <w:lang w:val="ru-RU"/>
              </w:rPr>
            </w:pPr>
            <w:r w:rsidRPr="000323D3">
              <w:rPr>
                <w:b w:val="0"/>
                <w:color w:val="auto"/>
                <w:sz w:val="20"/>
              </w:rPr>
              <w:t>Срок</w:t>
            </w:r>
            <w:r w:rsidRPr="000323D3">
              <w:rPr>
                <w:b w:val="0"/>
                <w:color w:val="auto"/>
                <w:sz w:val="20"/>
                <w:lang w:val="ru-RU"/>
              </w:rPr>
              <w:t xml:space="preserve"> после заключения договора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978AD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20"/>
                <w:szCs w:val="20"/>
                <w:lang w:val="en-US"/>
              </w:rPr>
            </w:pPr>
            <w:r w:rsidRPr="000323D3">
              <w:rPr>
                <w:b w:val="0"/>
                <w:color w:val="auto"/>
                <w:sz w:val="20"/>
              </w:rPr>
              <w:t>Дни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75852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20"/>
                <w:szCs w:val="20"/>
                <w:lang w:val="en-US"/>
              </w:rPr>
            </w:pPr>
            <w:r w:rsidRPr="000323D3">
              <w:rPr>
                <w:b w:val="0"/>
                <w:color w:val="auto"/>
                <w:sz w:val="20"/>
              </w:rPr>
              <w:t>Вес (%)</w:t>
            </w:r>
          </w:p>
        </w:tc>
      </w:tr>
      <w:tr w:rsidR="00CE12E3" w:rsidRPr="000323D3" w14:paraId="14EED762" w14:textId="77777777" w:rsidTr="00920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5254AC5B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</w:pPr>
            <w:r w:rsidRPr="000323D3">
              <w:rPr>
                <w:b w:val="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1564F3CE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0323D3">
              <w:rPr>
                <w:sz w:val="20"/>
              </w:rPr>
              <w:t>Дизайн AEPS заверш</w:t>
            </w:r>
            <w:r w:rsidRPr="000323D3">
              <w:rPr>
                <w:sz w:val="20"/>
                <w:lang w:val="ru-RU"/>
              </w:rPr>
              <w:t>ить</w:t>
            </w:r>
            <w:r w:rsidRPr="000323D3">
              <w:rPr>
                <w:sz w:val="20"/>
              </w:rPr>
              <w:t xml:space="preserve"> и адаптирова</w:t>
            </w:r>
            <w:r w:rsidRPr="000323D3">
              <w:rPr>
                <w:sz w:val="20"/>
                <w:lang w:val="ru-RU"/>
              </w:rPr>
              <w:t>ть</w:t>
            </w:r>
            <w:r w:rsidRPr="000323D3">
              <w:rPr>
                <w:sz w:val="20"/>
              </w:rPr>
              <w:t xml:space="preserve"> к армянскому контексту, включая обоснование критериев приемлемости и модели платежей, техническое руководство по внедрению, а также интегрированные положения SES/социальной и гендерной инклюзии. Прове</w:t>
            </w:r>
            <w:r w:rsidRPr="000323D3">
              <w:rPr>
                <w:sz w:val="20"/>
                <w:lang w:val="ru-RU"/>
              </w:rPr>
              <w:t>сти</w:t>
            </w:r>
            <w:r w:rsidRPr="000323D3">
              <w:rPr>
                <w:sz w:val="20"/>
              </w:rPr>
              <w:t xml:space="preserve"> не менее двух онлайн-тренингов по AEPS (по согласованию). Результат должен включать Операционное руководство AEPS и основные шаблоны (заявка/контракт/расчет платежей/верификация/несоблюдение требований/апелляции), а также критерии отбора мер AEPS (включая список исключений и контрольный список скрининга SES).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5CE9EA05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323D3">
              <w:rPr>
                <w:sz w:val="20"/>
              </w:rPr>
              <w:t>3 месяца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14C3A6E6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0323D3">
              <w:rPr>
                <w:sz w:val="20"/>
              </w:rPr>
              <w:t>12 (включая до 5 рабочих дней командировки в Армению — даты подлежат уточнению)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30E67A4E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323D3">
              <w:rPr>
                <w:sz w:val="20"/>
              </w:rPr>
              <w:t>40</w:t>
            </w:r>
          </w:p>
        </w:tc>
      </w:tr>
      <w:tr w:rsidR="00CE12E3" w:rsidRPr="000323D3" w14:paraId="65CF10A0" w14:textId="77777777" w:rsidTr="00920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29C9844C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</w:pPr>
            <w:r w:rsidRPr="000323D3">
              <w:rPr>
                <w:b w:val="0"/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32E52C34" w14:textId="77777777" w:rsidR="00CE12E3" w:rsidRPr="000323D3" w:rsidRDefault="00CE12E3" w:rsidP="00920493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  <w:lang w:val="ru-RU"/>
              </w:rPr>
            </w:pPr>
            <w:r w:rsidRPr="000323D3">
              <w:rPr>
                <w:sz w:val="20"/>
              </w:rPr>
              <w:t>Разработа</w:t>
            </w:r>
            <w:r w:rsidRPr="000323D3">
              <w:rPr>
                <w:sz w:val="20"/>
                <w:lang w:val="ru-RU"/>
              </w:rPr>
              <w:t>ть область</w:t>
            </w:r>
            <w:r w:rsidRPr="000323D3">
              <w:rPr>
                <w:sz w:val="20"/>
              </w:rPr>
              <w:t xml:space="preserve"> пилотной AEPS и методология MRV, включая индикаторы и подходы к верификации (полевые и, где возможно, на основе дистанционного зондирования).</w:t>
            </w:r>
          </w:p>
          <w:p w14:paraId="1CDDA381" w14:textId="77777777" w:rsidR="00CE12E3" w:rsidRPr="000323D3" w:rsidRDefault="00CE12E3" w:rsidP="00920493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  <w:lang w:val="ru-RU"/>
              </w:rPr>
            </w:pPr>
            <w:r w:rsidRPr="000323D3">
              <w:rPr>
                <w:sz w:val="20"/>
              </w:rPr>
              <w:t>Предостав</w:t>
            </w:r>
            <w:r w:rsidRPr="000323D3">
              <w:rPr>
                <w:sz w:val="20"/>
                <w:lang w:val="ru-RU"/>
              </w:rPr>
              <w:t>ить</w:t>
            </w:r>
            <w:r w:rsidRPr="000323D3">
              <w:rPr>
                <w:sz w:val="20"/>
              </w:rPr>
              <w:t xml:space="preserve"> технический консультативный вклад в разработку механизмов управления и операционных механизмов пилота (роли, обязанности, рабочие процессы), которые будут внедряться Командой проекта.</w:t>
            </w:r>
          </w:p>
          <w:p w14:paraId="7DD652D1" w14:textId="77777777" w:rsidR="00CE12E3" w:rsidRPr="000323D3" w:rsidRDefault="00CE12E3" w:rsidP="00920493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  <w:lang w:val="ru-RU"/>
              </w:rPr>
            </w:pPr>
            <w:r w:rsidRPr="000323D3">
              <w:rPr>
                <w:sz w:val="20"/>
              </w:rPr>
              <w:t>Прове</w:t>
            </w:r>
            <w:r w:rsidRPr="000323D3">
              <w:rPr>
                <w:sz w:val="20"/>
                <w:lang w:val="ru-RU"/>
              </w:rPr>
              <w:t>сти</w:t>
            </w:r>
            <w:r w:rsidRPr="000323D3">
              <w:rPr>
                <w:sz w:val="20"/>
              </w:rPr>
              <w:t xml:space="preserve"> не менее двух очных тренингов по AEPS (по согласованию).</w:t>
            </w:r>
          </w:p>
          <w:p w14:paraId="22341CA8" w14:textId="77777777" w:rsidR="00CE12E3" w:rsidRPr="000323D3" w:rsidRDefault="00CE12E3" w:rsidP="00920493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0323D3">
              <w:rPr>
                <w:sz w:val="20"/>
              </w:rPr>
              <w:t>Предостав</w:t>
            </w:r>
            <w:r w:rsidRPr="000323D3">
              <w:rPr>
                <w:sz w:val="20"/>
                <w:lang w:val="ru-RU"/>
              </w:rPr>
              <w:t>ить</w:t>
            </w:r>
            <w:r w:rsidRPr="000323D3">
              <w:rPr>
                <w:sz w:val="20"/>
              </w:rPr>
              <w:t xml:space="preserve"> технический вклад в процессы консультаций с заинтересованными сторонами и в разработку рабочего процесса GRM/апелляций для AEPS.</w:t>
            </w:r>
          </w:p>
        </w:tc>
        <w:tc>
          <w:tcPr>
            <w:tcW w:w="0" w:type="auto"/>
            <w:shd w:val="clear" w:color="auto" w:fill="auto"/>
            <w:hideMark/>
          </w:tcPr>
          <w:p w14:paraId="443C0EE8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323D3">
              <w:rPr>
                <w:sz w:val="20"/>
              </w:rPr>
              <w:t>5 месяцев</w:t>
            </w:r>
          </w:p>
        </w:tc>
        <w:tc>
          <w:tcPr>
            <w:tcW w:w="0" w:type="auto"/>
            <w:shd w:val="clear" w:color="auto" w:fill="auto"/>
            <w:hideMark/>
          </w:tcPr>
          <w:p w14:paraId="4F14A4C2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0323D3">
              <w:rPr>
                <w:sz w:val="20"/>
              </w:rPr>
              <w:t>10 (две очные сессии могут быть проведены в рамках командировки по Результату 1, по согласованию)</w:t>
            </w:r>
          </w:p>
        </w:tc>
        <w:tc>
          <w:tcPr>
            <w:tcW w:w="0" w:type="auto"/>
            <w:shd w:val="clear" w:color="auto" w:fill="auto"/>
            <w:hideMark/>
          </w:tcPr>
          <w:p w14:paraId="66019572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323D3">
              <w:rPr>
                <w:sz w:val="20"/>
              </w:rPr>
              <w:t>35</w:t>
            </w:r>
          </w:p>
        </w:tc>
      </w:tr>
      <w:tr w:rsidR="00CE12E3" w:rsidRPr="000323D3" w14:paraId="7F6D2F70" w14:textId="77777777" w:rsidTr="00920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53BDBEA3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</w:pPr>
            <w:r w:rsidRPr="000323D3">
              <w:rPr>
                <w:b w:val="0"/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14:paraId="31475E5D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0323D3">
              <w:rPr>
                <w:sz w:val="20"/>
              </w:rPr>
              <w:t>Подготов</w:t>
            </w:r>
            <w:r w:rsidRPr="000323D3">
              <w:rPr>
                <w:sz w:val="20"/>
                <w:lang w:val="ru-RU"/>
              </w:rPr>
              <w:t>ить</w:t>
            </w:r>
            <w:r w:rsidRPr="000323D3">
              <w:rPr>
                <w:sz w:val="20"/>
              </w:rPr>
              <w:t xml:space="preserve"> и представ</w:t>
            </w:r>
            <w:r w:rsidRPr="000323D3">
              <w:rPr>
                <w:sz w:val="20"/>
                <w:lang w:val="ru-RU"/>
              </w:rPr>
              <w:t>ить</w:t>
            </w:r>
            <w:r w:rsidRPr="000323D3">
              <w:rPr>
                <w:sz w:val="20"/>
              </w:rPr>
              <w:t xml:space="preserve"> для валидации с ключевыми заинтересованными сторонами анализ финансовой осуществимости AEPS и стратеги</w:t>
            </w:r>
            <w:r w:rsidRPr="000323D3">
              <w:rPr>
                <w:sz w:val="20"/>
                <w:lang w:val="ru-RU"/>
              </w:rPr>
              <w:t>ю</w:t>
            </w:r>
            <w:r w:rsidRPr="000323D3">
              <w:rPr>
                <w:sz w:val="20"/>
              </w:rPr>
              <w:t xml:space="preserve"> национального масштабирования и институционализации, включая варианты финансирования, пути интеграции в политику и продукты знаний (записка об извлеченных уроках + пакет для тиражирования/шаблоны).</w:t>
            </w:r>
          </w:p>
        </w:tc>
        <w:tc>
          <w:tcPr>
            <w:tcW w:w="0" w:type="auto"/>
            <w:shd w:val="clear" w:color="auto" w:fill="auto"/>
            <w:hideMark/>
          </w:tcPr>
          <w:p w14:paraId="19FBE5E3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323D3">
              <w:rPr>
                <w:sz w:val="20"/>
              </w:rPr>
              <w:t>4 месяца</w:t>
            </w:r>
          </w:p>
        </w:tc>
        <w:tc>
          <w:tcPr>
            <w:tcW w:w="0" w:type="auto"/>
            <w:shd w:val="clear" w:color="auto" w:fill="auto"/>
            <w:hideMark/>
          </w:tcPr>
          <w:p w14:paraId="6FAEEF9B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323D3">
              <w:rPr>
                <w:sz w:val="20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14:paraId="252B0BB7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323D3">
              <w:rPr>
                <w:sz w:val="20"/>
              </w:rPr>
              <w:t>25</w:t>
            </w:r>
          </w:p>
        </w:tc>
      </w:tr>
    </w:tbl>
    <w:p w14:paraId="1AC1D23A" w14:textId="77777777" w:rsidR="00CE12E3" w:rsidRPr="000323D3" w:rsidRDefault="00CE12E3" w:rsidP="007D250D">
      <w:pPr>
        <w:pStyle w:val="Normal1"/>
        <w:numPr>
          <w:ilvl w:val="0"/>
          <w:numId w:val="2"/>
        </w:numPr>
        <w:spacing w:before="480" w:beforeAutospacing="0" w:after="120"/>
        <w:ind w:left="180" w:right="-180" w:hanging="270"/>
        <w:rPr>
          <w:rFonts w:cs="Calibri"/>
          <w:bCs/>
        </w:rPr>
      </w:pPr>
      <w:r w:rsidRPr="000323D3">
        <w:t xml:space="preserve">ГРАФИК КОМАНДИРОВКИ И ОПЛАТЫ </w:t>
      </w:r>
    </w:p>
    <w:tbl>
      <w:tblPr>
        <w:tblW w:w="101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03"/>
      </w:tblGrid>
      <w:tr w:rsidR="00CE12E3" w:rsidRPr="000323D3" w14:paraId="77F8D048" w14:textId="77777777" w:rsidTr="00920493">
        <w:tc>
          <w:tcPr>
            <w:tcW w:w="10103" w:type="dxa"/>
          </w:tcPr>
          <w:p w14:paraId="18AABC56" w14:textId="77777777" w:rsidR="00CE12E3" w:rsidRPr="000323D3" w:rsidRDefault="00CE12E3" w:rsidP="00920493">
            <w:pPr>
              <w:pStyle w:val="pf0"/>
              <w:spacing w:before="0" w:beforeAutospacing="0" w:after="0" w:afterAutospacing="0"/>
              <w:rPr>
                <w:lang w:val="ru-RU"/>
              </w:rPr>
            </w:pPr>
            <w:r w:rsidRPr="000323D3">
              <w:rPr>
                <w:sz w:val="22"/>
                <w:lang w:val="ru-RU"/>
              </w:rPr>
              <w:t xml:space="preserve">В ходе задания 2026 года потребуется международная поездка продолжительностью до 5 рабочих дней для полевой миссии в Ереван/Армению; график миссии будет согласован с консультантом на этапе заключения договора. Расходы, связанные с миссией и международной поездкой, будут включены в единовременное финансовое предложение и оплачены </w:t>
            </w:r>
            <w:r w:rsidRPr="000323D3">
              <w:rPr>
                <w:sz w:val="22"/>
              </w:rPr>
              <w:t>EPIU</w:t>
            </w:r>
            <w:r w:rsidRPr="000323D3">
              <w:rPr>
                <w:sz w:val="22"/>
                <w:lang w:val="ru-RU"/>
              </w:rPr>
              <w:t xml:space="preserve"> за: </w:t>
            </w:r>
            <w:r w:rsidRPr="000323D3">
              <w:rPr>
                <w:sz w:val="22"/>
              </w:rPr>
              <w:t>i</w:t>
            </w:r>
            <w:r w:rsidRPr="000323D3">
              <w:rPr>
                <w:sz w:val="22"/>
                <w:lang w:val="ru-RU"/>
              </w:rPr>
              <w:t xml:space="preserve">) авиабилет туда и обратно по наиболее прямому маршруту экономическим классом; </w:t>
            </w:r>
            <w:r w:rsidRPr="000323D3">
              <w:rPr>
                <w:sz w:val="22"/>
              </w:rPr>
              <w:t>ii</w:t>
            </w:r>
            <w:r w:rsidRPr="000323D3">
              <w:rPr>
                <w:sz w:val="22"/>
                <w:lang w:val="ru-RU"/>
              </w:rPr>
              <w:t>) суточные (</w:t>
            </w:r>
            <w:r w:rsidRPr="000323D3">
              <w:rPr>
                <w:sz w:val="22"/>
              </w:rPr>
              <w:t>DSA</w:t>
            </w:r>
            <w:r w:rsidRPr="000323D3">
              <w:rPr>
                <w:sz w:val="22"/>
                <w:lang w:val="ru-RU"/>
              </w:rPr>
              <w:t xml:space="preserve">) согласно установленным ставкам суточных ООН на период миссии в стране для гостиницы с подходящим расположением и тарифом экономического класса (варианты будут предложены и согласованы), питания и местных поездок; </w:t>
            </w:r>
            <w:r w:rsidRPr="000323D3">
              <w:rPr>
                <w:sz w:val="22"/>
              </w:rPr>
              <w:t>ii</w:t>
            </w:r>
            <w:r w:rsidRPr="000323D3">
              <w:rPr>
                <w:sz w:val="22"/>
                <w:lang w:val="ru-RU"/>
              </w:rPr>
              <w:t xml:space="preserve">) другие связанные с миссией расходы, включая трансферы в/из терминала и визу, будут возмещены на основании отчета консультанта о понесенных расходах, представленного после завершения миссии. Миссия может включать местные поездки в область/общину; все такие местные перевозки организует </w:t>
            </w:r>
            <w:r w:rsidRPr="000323D3">
              <w:rPr>
                <w:sz w:val="22"/>
              </w:rPr>
              <w:t>EPIU</w:t>
            </w:r>
            <w:r w:rsidRPr="000323D3">
              <w:rPr>
                <w:sz w:val="22"/>
                <w:lang w:val="ru-RU"/>
              </w:rPr>
              <w:t xml:space="preserve">. По вопросам визы необходимо заблаговременно до планируемой поездки посетить: </w:t>
            </w:r>
            <w:r w:rsidRPr="000323D3">
              <w:rPr>
                <w:sz w:val="22"/>
              </w:rPr>
              <w:t>E</w:t>
            </w:r>
            <w:r w:rsidRPr="000323D3">
              <w:rPr>
                <w:sz w:val="22"/>
                <w:lang w:val="ru-RU"/>
              </w:rPr>
              <w:t>-</w:t>
            </w:r>
            <w:r w:rsidRPr="000323D3">
              <w:rPr>
                <w:sz w:val="22"/>
              </w:rPr>
              <w:t>Visa</w:t>
            </w:r>
            <w:r w:rsidRPr="000323D3">
              <w:rPr>
                <w:sz w:val="22"/>
                <w:lang w:val="ru-RU"/>
              </w:rPr>
              <w:t xml:space="preserve"> (</w:t>
            </w:r>
            <w:r w:rsidRPr="000323D3">
              <w:rPr>
                <w:sz w:val="22"/>
              </w:rPr>
              <w:t>mfa</w:t>
            </w:r>
            <w:r w:rsidRPr="000323D3">
              <w:rPr>
                <w:sz w:val="22"/>
                <w:lang w:val="ru-RU"/>
              </w:rPr>
              <w:t>.</w:t>
            </w:r>
            <w:r w:rsidRPr="000323D3">
              <w:rPr>
                <w:sz w:val="22"/>
              </w:rPr>
              <w:t>am</w:t>
            </w:r>
            <w:r w:rsidRPr="000323D3">
              <w:rPr>
                <w:sz w:val="22"/>
                <w:lang w:val="ru-RU"/>
              </w:rPr>
              <w:t xml:space="preserve">). </w:t>
            </w:r>
          </w:p>
          <w:p w14:paraId="6907EABC" w14:textId="77777777" w:rsidR="00CE12E3" w:rsidRPr="000323D3" w:rsidRDefault="00CE12E3" w:rsidP="00920493">
            <w:pPr>
              <w:pStyle w:val="pf0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</w:p>
          <w:p w14:paraId="6FC510AD" w14:textId="77777777" w:rsidR="00CE12E3" w:rsidRPr="000323D3" w:rsidRDefault="00CE12E3" w:rsidP="00920493">
            <w:pPr>
              <w:pStyle w:val="pf0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  <w:lang w:val="ru-RU"/>
              </w:rPr>
              <w:t xml:space="preserve">Оплата будет произведена двумя траншами после представления и принятия результатов, а также подтверждения удовлетворительного выполнения работы со стороны </w:t>
            </w:r>
            <w:r w:rsidRPr="000323D3">
              <w:rPr>
                <w:sz w:val="22"/>
              </w:rPr>
              <w:t>EPIU</w:t>
            </w:r>
            <w:r w:rsidRPr="000323D3">
              <w:rPr>
                <w:sz w:val="22"/>
                <w:lang w:val="ru-RU"/>
              </w:rPr>
              <w:t>:</w:t>
            </w:r>
          </w:p>
          <w:p w14:paraId="761DA9A4" w14:textId="77777777" w:rsidR="00CE12E3" w:rsidRPr="000323D3" w:rsidRDefault="00CE12E3" w:rsidP="007D250D">
            <w:pPr>
              <w:pStyle w:val="pf0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  <w:lang w:val="ru-RU"/>
              </w:rPr>
              <w:t xml:space="preserve">После завершения Результата 1: </w:t>
            </w:r>
            <w:r w:rsidRPr="000323D3">
              <w:rPr>
                <w:rFonts w:ascii="Arial" w:hAnsi="Arial"/>
                <w:sz w:val="22"/>
                <w:lang w:val="hy-AM"/>
              </w:rPr>
              <w:t>4</w:t>
            </w:r>
            <w:r w:rsidRPr="000323D3">
              <w:rPr>
                <w:sz w:val="22"/>
                <w:lang w:val="ru-RU"/>
              </w:rPr>
              <w:t>0% от общей суммы профессионального вознаграждения</w:t>
            </w:r>
          </w:p>
          <w:p w14:paraId="6B01EEE3" w14:textId="77777777" w:rsidR="00CE12E3" w:rsidRPr="000323D3" w:rsidRDefault="00CE12E3" w:rsidP="007D250D">
            <w:pPr>
              <w:pStyle w:val="pf0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  <w:lang w:val="ru-RU"/>
              </w:rPr>
              <w:t xml:space="preserve">После завершения Результатов 2 и 3: </w:t>
            </w:r>
            <w:r w:rsidRPr="000323D3">
              <w:rPr>
                <w:rFonts w:ascii="Arial" w:hAnsi="Arial"/>
                <w:sz w:val="22"/>
                <w:lang w:val="hy-AM"/>
              </w:rPr>
              <w:t>6</w:t>
            </w:r>
            <w:r w:rsidRPr="000323D3">
              <w:rPr>
                <w:sz w:val="22"/>
                <w:lang w:val="ru-RU"/>
              </w:rPr>
              <w:t>0% от общей суммы профессионального вознаграждения</w:t>
            </w:r>
          </w:p>
          <w:p w14:paraId="44367379" w14:textId="77777777" w:rsidR="00CE12E3" w:rsidRPr="000323D3" w:rsidRDefault="00CE12E3" w:rsidP="00920493">
            <w:pPr>
              <w:pStyle w:val="Para"/>
              <w:numPr>
                <w:ilvl w:val="0"/>
                <w:numId w:val="0"/>
              </w:numPr>
              <w:ind w:left="1080" w:hanging="360"/>
              <w:rPr>
                <w:rFonts w:ascii="Calibri" w:hAnsi="Calibri" w:cs="Calibri"/>
              </w:rPr>
            </w:pPr>
          </w:p>
        </w:tc>
      </w:tr>
    </w:tbl>
    <w:p w14:paraId="1F5B4681" w14:textId="77777777" w:rsidR="00CE12E3" w:rsidRPr="000323D3" w:rsidRDefault="00CE12E3" w:rsidP="007D250D">
      <w:pPr>
        <w:pStyle w:val="Normal1"/>
        <w:numPr>
          <w:ilvl w:val="0"/>
          <w:numId w:val="2"/>
        </w:numPr>
        <w:spacing w:before="360" w:beforeAutospacing="0" w:after="120"/>
        <w:ind w:left="188" w:right="-187" w:hanging="274"/>
        <w:rPr>
          <w:rFonts w:cs="Calibri"/>
          <w:bCs/>
        </w:rPr>
      </w:pPr>
      <w:r w:rsidRPr="000323D3">
        <w:t> ИНСТИТУЦИОНАЛЬНЫЕ МЕХАНИЗМЫ / ЛИНИИ ОТЧЕТНОСТИ</w:t>
      </w:r>
    </w:p>
    <w:tbl>
      <w:tblPr>
        <w:tblW w:w="101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03"/>
      </w:tblGrid>
      <w:tr w:rsidR="00CE12E3" w:rsidRPr="000323D3" w14:paraId="760A8DD2" w14:textId="77777777" w:rsidTr="00920493">
        <w:trPr>
          <w:trHeight w:val="585"/>
        </w:trPr>
        <w:tc>
          <w:tcPr>
            <w:tcW w:w="10103" w:type="dxa"/>
          </w:tcPr>
          <w:p w14:paraId="0BAC8F85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0323D3">
              <w:rPr>
                <w:sz w:val="22"/>
              </w:rPr>
              <w:lastRenderedPageBreak/>
              <w:t>Консультант будет отчитываться перед Менеджером проекта EPIU. При выполнении задания Международному консультанту будет оказывать поддержку команда национальных консультантов. Все результаты должны представляться на английском языке в электронном формате и подлежат рассмотрению и утверждению EPIU.</w:t>
            </w:r>
          </w:p>
        </w:tc>
      </w:tr>
    </w:tbl>
    <w:p w14:paraId="0DEFAD73" w14:textId="77777777" w:rsidR="00CE12E3" w:rsidRPr="000323D3" w:rsidRDefault="00CE12E3" w:rsidP="007D250D">
      <w:pPr>
        <w:pStyle w:val="Normal1"/>
        <w:numPr>
          <w:ilvl w:val="0"/>
          <w:numId w:val="2"/>
        </w:numPr>
        <w:spacing w:before="360" w:beforeAutospacing="0" w:after="120"/>
        <w:ind w:left="188" w:right="-187" w:hanging="274"/>
        <w:rPr>
          <w:rFonts w:cs="Calibri"/>
          <w:bCs/>
        </w:rPr>
      </w:pPr>
      <w:r w:rsidRPr="000323D3">
        <w:t>ОПЫТ И КВАЛИФИКАЦИЯ</w:t>
      </w:r>
    </w:p>
    <w:tbl>
      <w:tblPr>
        <w:tblW w:w="101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03"/>
      </w:tblGrid>
      <w:tr w:rsidR="00CE12E3" w:rsidRPr="000323D3" w14:paraId="3FE22D81" w14:textId="77777777" w:rsidTr="00920493">
        <w:trPr>
          <w:trHeight w:val="341"/>
        </w:trPr>
        <w:tc>
          <w:tcPr>
            <w:tcW w:w="10103" w:type="dxa"/>
          </w:tcPr>
          <w:p w14:paraId="3EDDC781" w14:textId="77777777" w:rsidR="00CE12E3" w:rsidRPr="000323D3" w:rsidRDefault="00CE12E3" w:rsidP="00920493">
            <w:pPr>
              <w:spacing w:before="120" w:after="120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0323D3">
              <w:rPr>
                <w:sz w:val="22"/>
                <w:u w:val="single"/>
              </w:rPr>
              <w:t>I. Академические квалификации</w:t>
            </w:r>
          </w:p>
          <w:p w14:paraId="5D3B7894" w14:textId="77777777" w:rsidR="00CE12E3" w:rsidRPr="000323D3" w:rsidRDefault="00CE12E3" w:rsidP="0092049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323D3">
              <w:rPr>
                <w:sz w:val="22"/>
              </w:rPr>
              <w:t>Степень магистра или выше в области экологических наук, сельского хозяйства, экологической экономики, управления природными ресурсами или в тесно связанной области.</w:t>
            </w:r>
          </w:p>
          <w:p w14:paraId="4D8DA200" w14:textId="77777777" w:rsidR="00CE12E3" w:rsidRPr="000323D3" w:rsidRDefault="00CE12E3" w:rsidP="00920493">
            <w:pPr>
              <w:pStyle w:val="aff4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0323D3">
              <w:rPr>
                <w:sz w:val="22"/>
                <w:u w:val="single"/>
              </w:rPr>
              <w:t xml:space="preserve">I I </w:t>
            </w:r>
            <w:r w:rsidRPr="000323D3">
              <w:rPr>
                <w:sz w:val="22"/>
                <w:u w:val="single"/>
                <w:lang w:val="ru-RU"/>
              </w:rPr>
              <w:t xml:space="preserve"> </w:t>
            </w:r>
            <w:r w:rsidRPr="000323D3">
              <w:rPr>
                <w:sz w:val="22"/>
                <w:u w:val="single"/>
              </w:rPr>
              <w:t>Профессиональный опыт</w:t>
            </w:r>
          </w:p>
          <w:p w14:paraId="4D8CCAD7" w14:textId="77777777" w:rsidR="00CE12E3" w:rsidRPr="000323D3" w:rsidRDefault="00CE12E3" w:rsidP="007D250D">
            <w:pPr>
              <w:pStyle w:val="aff4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0323D3">
              <w:rPr>
                <w:sz w:val="22"/>
                <w:lang w:val="ru-RU"/>
              </w:rPr>
              <w:t xml:space="preserve">Минимум 5 лет подтвержденного опыта в разработке и/или внедрении схем агроэкологических платежей, механизмов </w:t>
            </w:r>
            <w:r w:rsidRPr="000323D3">
              <w:rPr>
                <w:sz w:val="22"/>
              </w:rPr>
              <w:t>PES</w:t>
            </w:r>
            <w:r w:rsidRPr="000323D3">
              <w:rPr>
                <w:sz w:val="22"/>
                <w:lang w:val="ru-RU"/>
              </w:rPr>
              <w:t xml:space="preserve"> или аналогичных стимулирующих инструментов экологического финансирования;</w:t>
            </w:r>
          </w:p>
          <w:p w14:paraId="2D4E8913" w14:textId="77777777" w:rsidR="00CE12E3" w:rsidRPr="000323D3" w:rsidRDefault="00CE12E3" w:rsidP="007D250D">
            <w:pPr>
              <w:pStyle w:val="aff4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0323D3">
              <w:rPr>
                <w:sz w:val="22"/>
                <w:lang w:val="ru-RU"/>
              </w:rPr>
              <w:t>Требуется подтвержденный опыт работы с проектами, финансируемыми ПРООН и/или ГЭФ;</w:t>
            </w:r>
          </w:p>
          <w:p w14:paraId="38ED781E" w14:textId="77777777" w:rsidR="00CE12E3" w:rsidRPr="000323D3" w:rsidRDefault="00CE12E3" w:rsidP="007D250D">
            <w:pPr>
              <w:pStyle w:val="aff4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0323D3">
              <w:rPr>
                <w:sz w:val="22"/>
                <w:lang w:val="ru-RU"/>
              </w:rPr>
              <w:t>Опыт работы в Восточной Европе, странах СНГ или сопоставимых регионах считается преимуществом.</w:t>
            </w:r>
          </w:p>
          <w:p w14:paraId="0925E50D" w14:textId="77777777" w:rsidR="00CE12E3" w:rsidRPr="000323D3" w:rsidRDefault="00CE12E3" w:rsidP="00920493">
            <w:pPr>
              <w:spacing w:before="120" w:after="120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0323D3">
              <w:rPr>
                <w:sz w:val="22"/>
                <w:u w:val="single"/>
              </w:rPr>
              <w:t>III. Язык и технические средства</w:t>
            </w:r>
          </w:p>
          <w:p w14:paraId="0DD0E883" w14:textId="77777777" w:rsidR="00CE12E3" w:rsidRPr="000323D3" w:rsidRDefault="00CE12E3" w:rsidP="007D250D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248"/>
              </w:tabs>
              <w:autoSpaceDE w:val="0"/>
              <w:autoSpaceDN w:val="0"/>
              <w:ind w:right="101"/>
              <w:rPr>
                <w:rFonts w:ascii="Calibri" w:hAnsi="Calibri" w:cs="Calibri"/>
                <w:sz w:val="22"/>
                <w:szCs w:val="22"/>
              </w:rPr>
            </w:pPr>
            <w:r w:rsidRPr="000323D3">
              <w:rPr>
                <w:sz w:val="22"/>
              </w:rPr>
              <w:t>Свободное владение письменным и устным английским языком обязательно;</w:t>
            </w:r>
          </w:p>
          <w:p w14:paraId="22749354" w14:textId="77777777" w:rsidR="00CE12E3" w:rsidRPr="000323D3" w:rsidRDefault="00CE12E3" w:rsidP="007D250D">
            <w:pPr>
              <w:pStyle w:val="a7"/>
              <w:numPr>
                <w:ilvl w:val="0"/>
                <w:numId w:val="6"/>
              </w:numPr>
              <w:spacing w:before="12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 xml:space="preserve">Наличие необходимых технических средств (компьютер, программное обеспечение) для выполнения задания. </w:t>
            </w:r>
          </w:p>
          <w:p w14:paraId="6D44B7A8" w14:textId="77777777" w:rsidR="00CE12E3" w:rsidRPr="000323D3" w:rsidRDefault="00CE12E3" w:rsidP="00920493">
            <w:pPr>
              <w:spacing w:before="120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0323D3">
              <w:rPr>
                <w:sz w:val="22"/>
                <w:u w:val="single"/>
              </w:rPr>
              <w:t>IV. Специальные навыки</w:t>
            </w:r>
          </w:p>
          <w:p w14:paraId="0046A671" w14:textId="77777777" w:rsidR="00CE12E3" w:rsidRPr="000323D3" w:rsidRDefault="00CE12E3" w:rsidP="007D250D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248"/>
              </w:tabs>
              <w:autoSpaceDE w:val="0"/>
              <w:autoSpaceDN w:val="0"/>
              <w:ind w:right="101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Сильные аналитические навыки, навыки подготовки документов, фасилитации и коммуникации;</w:t>
            </w:r>
          </w:p>
          <w:p w14:paraId="316BDAA6" w14:textId="77777777" w:rsidR="00CE12E3" w:rsidRPr="000323D3" w:rsidRDefault="00CE12E3" w:rsidP="007D250D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248"/>
              </w:tabs>
              <w:autoSpaceDE w:val="0"/>
              <w:autoSpaceDN w:val="0"/>
              <w:ind w:right="101"/>
              <w:rPr>
                <w:rFonts w:ascii="Calibri" w:hAnsi="Calibri" w:cs="Calibri"/>
                <w:sz w:val="22"/>
                <w:szCs w:val="22"/>
              </w:rPr>
            </w:pPr>
            <w:r w:rsidRPr="000323D3">
              <w:rPr>
                <w:sz w:val="22"/>
              </w:rPr>
              <w:t>Умение работать удаленно и управлять платформами виртуального сотрудничества;</w:t>
            </w:r>
          </w:p>
          <w:p w14:paraId="11AFE27C" w14:textId="77777777" w:rsidR="00CE12E3" w:rsidRPr="000323D3" w:rsidRDefault="00CE12E3" w:rsidP="007D250D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248"/>
              </w:tabs>
              <w:autoSpaceDE w:val="0"/>
              <w:autoSpaceDN w:val="0"/>
              <w:ind w:right="101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Подтвержденные навыки координации и взаимодействия с заинтересованными сторонами.</w:t>
            </w:r>
          </w:p>
          <w:p w14:paraId="2390582F" w14:textId="77777777" w:rsidR="00CE12E3" w:rsidRPr="000323D3" w:rsidRDefault="00CE12E3" w:rsidP="00920493">
            <w:pPr>
              <w:widowControl w:val="0"/>
              <w:tabs>
                <w:tab w:val="left" w:pos="248"/>
              </w:tabs>
              <w:autoSpaceDE w:val="0"/>
              <w:autoSpaceDN w:val="0"/>
              <w:ind w:right="101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</w:p>
          <w:p w14:paraId="7393D232" w14:textId="77777777" w:rsidR="00CE12E3" w:rsidRPr="000323D3" w:rsidRDefault="00CE12E3" w:rsidP="00920493">
            <w:pPr>
              <w:widowControl w:val="0"/>
              <w:tabs>
                <w:tab w:val="left" w:pos="248"/>
              </w:tabs>
              <w:autoSpaceDE w:val="0"/>
              <w:autoSpaceDN w:val="0"/>
              <w:ind w:right="101"/>
              <w:rPr>
                <w:rFonts w:ascii="Calibri" w:hAnsi="Calibri" w:cs="Calibri"/>
                <w:sz w:val="22"/>
                <w:szCs w:val="22"/>
              </w:rPr>
            </w:pPr>
            <w:r w:rsidRPr="000323D3">
              <w:rPr>
                <w:sz w:val="22"/>
                <w:u w:val="single"/>
              </w:rPr>
              <w:t>V. Требования к подтверждающим документам (согласно требованиям национального законодательства)</w:t>
            </w:r>
          </w:p>
          <w:p w14:paraId="08F3C12D" w14:textId="77777777" w:rsidR="00CE12E3" w:rsidRPr="000323D3" w:rsidRDefault="00CE12E3" w:rsidP="00920493">
            <w:pPr>
              <w:widowControl w:val="0"/>
              <w:tabs>
                <w:tab w:val="left" w:pos="248"/>
              </w:tabs>
              <w:autoSpaceDE w:val="0"/>
              <w:autoSpaceDN w:val="0"/>
              <w:ind w:right="101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Для обеспечения соответствия заявитель представляет следующие документы:</w:t>
            </w:r>
          </w:p>
          <w:p w14:paraId="0A469C50" w14:textId="77777777" w:rsidR="00CE12E3" w:rsidRPr="000323D3" w:rsidRDefault="00CE12E3" w:rsidP="007D250D">
            <w:pPr>
              <w:widowControl w:val="0"/>
              <w:numPr>
                <w:ilvl w:val="0"/>
                <w:numId w:val="9"/>
              </w:numPr>
              <w:tabs>
                <w:tab w:val="left" w:pos="248"/>
              </w:tabs>
              <w:autoSpaceDE w:val="0"/>
              <w:autoSpaceDN w:val="0"/>
              <w:ind w:right="101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Резюме, отражающее деятельность в течение года подачи заявки и предшествующих пяти (5) лет;</w:t>
            </w:r>
          </w:p>
          <w:p w14:paraId="51E76F0B" w14:textId="77777777" w:rsidR="00CE12E3" w:rsidRPr="000323D3" w:rsidRDefault="00CE12E3" w:rsidP="007D250D">
            <w:pPr>
              <w:widowControl w:val="0"/>
              <w:numPr>
                <w:ilvl w:val="0"/>
                <w:numId w:val="9"/>
              </w:numPr>
              <w:tabs>
                <w:tab w:val="left" w:pos="248"/>
              </w:tabs>
              <w:autoSpaceDE w:val="0"/>
              <w:autoSpaceDN w:val="0"/>
              <w:ind w:right="101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Копия как минимум одного (1) предыдущего договора на предоставление услуг, аналогичных данному заданию;</w:t>
            </w:r>
          </w:p>
          <w:p w14:paraId="369BEBDD" w14:textId="77777777" w:rsidR="00CE12E3" w:rsidRPr="000323D3" w:rsidRDefault="00CE12E3" w:rsidP="007D250D">
            <w:pPr>
              <w:widowControl w:val="0"/>
              <w:numPr>
                <w:ilvl w:val="0"/>
                <w:numId w:val="9"/>
              </w:numPr>
              <w:tabs>
                <w:tab w:val="left" w:pos="248"/>
              </w:tabs>
              <w:autoSpaceDE w:val="0"/>
              <w:autoSpaceDN w:val="0"/>
              <w:ind w:right="101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Подтверждение приемки успешно выполненного(ых) договорного(ых) результата(ов) (например, акт приема-передачи);</w:t>
            </w:r>
          </w:p>
          <w:p w14:paraId="16B44239" w14:textId="77777777" w:rsidR="00CE12E3" w:rsidRPr="000323D3" w:rsidRDefault="00CE12E3" w:rsidP="007D250D">
            <w:pPr>
              <w:widowControl w:val="0"/>
              <w:numPr>
                <w:ilvl w:val="0"/>
                <w:numId w:val="9"/>
              </w:numPr>
              <w:tabs>
                <w:tab w:val="left" w:pos="248"/>
              </w:tabs>
              <w:autoSpaceDE w:val="0"/>
              <w:autoSpaceDN w:val="0"/>
              <w:ind w:right="101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323D3">
              <w:rPr>
                <w:sz w:val="22"/>
              </w:rPr>
              <w:t>Копии паспорта консультанта и документов, подтверждающих квалификацию (дипломы, сертификаты и т. д.).</w:t>
            </w:r>
          </w:p>
          <w:p w14:paraId="1C5D3C62" w14:textId="77777777" w:rsidR="00CE12E3" w:rsidRPr="000323D3" w:rsidRDefault="00CE12E3" w:rsidP="007D250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165"/>
              </w:tabs>
              <w:autoSpaceDE w:val="0"/>
              <w:autoSpaceDN w:val="0"/>
              <w:spacing w:before="60" w:after="60"/>
              <w:ind w:left="346" w:right="101" w:hanging="346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2F886A7" w14:textId="77777777" w:rsidR="00CE12E3" w:rsidRPr="000323D3" w:rsidRDefault="00CE12E3" w:rsidP="007D250D">
      <w:pPr>
        <w:pStyle w:val="Normal1"/>
        <w:numPr>
          <w:ilvl w:val="0"/>
          <w:numId w:val="2"/>
        </w:numPr>
        <w:spacing w:before="360" w:beforeAutospacing="0" w:after="120"/>
        <w:ind w:left="188" w:right="-187" w:hanging="274"/>
        <w:rPr>
          <w:rFonts w:cs="Calibri"/>
          <w:bCs/>
        </w:rPr>
      </w:pPr>
      <w:r w:rsidRPr="000323D3">
        <w:t>МЕТОД ОЦЕНКИ</w:t>
      </w:r>
    </w:p>
    <w:p w14:paraId="735297DF" w14:textId="77777777" w:rsidR="00CE12E3" w:rsidRPr="000323D3" w:rsidRDefault="00CE12E3" w:rsidP="00CE12E3">
      <w:pPr>
        <w:widowControl w:val="0"/>
        <w:tabs>
          <w:tab w:val="left" w:pos="333"/>
        </w:tabs>
        <w:autoSpaceDE w:val="0"/>
        <w:autoSpaceDN w:val="0"/>
        <w:spacing w:before="240" w:after="120"/>
        <w:ind w:left="-90" w:right="-162"/>
        <w:rPr>
          <w:rFonts w:ascii="Calibri" w:eastAsia="Calibri" w:hAnsi="Calibri" w:cs="Calibri"/>
          <w:sz w:val="22"/>
          <w:szCs w:val="22"/>
        </w:rPr>
      </w:pPr>
      <w:r w:rsidRPr="000323D3">
        <w:rPr>
          <w:sz w:val="22"/>
        </w:rPr>
        <w:t>Будет применяться комбинированная система оценки: техническая часть — 70%, финансовое предложение — 30%.</w:t>
      </w:r>
    </w:p>
    <w:p w14:paraId="429932BC" w14:textId="77777777" w:rsidR="00CE12E3" w:rsidRPr="000323D3" w:rsidRDefault="00CE12E3" w:rsidP="00CE12E3">
      <w:pPr>
        <w:widowControl w:val="0"/>
        <w:tabs>
          <w:tab w:val="left" w:pos="333"/>
        </w:tabs>
        <w:autoSpaceDE w:val="0"/>
        <w:autoSpaceDN w:val="0"/>
        <w:spacing w:before="120" w:after="120"/>
        <w:ind w:left="-90" w:right="-162"/>
        <w:rPr>
          <w:rFonts w:ascii="Calibri" w:eastAsia="Calibri" w:hAnsi="Calibri" w:cs="Calibri"/>
          <w:sz w:val="22"/>
          <w:szCs w:val="22"/>
        </w:rPr>
      </w:pPr>
      <w:r w:rsidRPr="000323D3">
        <w:rPr>
          <w:sz w:val="22"/>
        </w:rPr>
        <w:t xml:space="preserve">Кандидаты будут оцениваться методом кумулятивного анализа «Комбинированный </w:t>
      </w:r>
      <w:r w:rsidRPr="000323D3">
        <w:rPr>
          <w:sz w:val="22"/>
          <w:lang w:val="ru-RU"/>
        </w:rPr>
        <w:t>метод</w:t>
      </w:r>
      <w:r w:rsidRPr="000323D3">
        <w:rPr>
          <w:sz w:val="22"/>
        </w:rPr>
        <w:t>»:</w:t>
      </w:r>
    </w:p>
    <w:p w14:paraId="0A3C1F5B" w14:textId="77777777" w:rsidR="00CE12E3" w:rsidRPr="000323D3" w:rsidRDefault="00CE12E3" w:rsidP="007D250D">
      <w:pPr>
        <w:pStyle w:val="a7"/>
        <w:widowControl w:val="0"/>
        <w:numPr>
          <w:ilvl w:val="0"/>
          <w:numId w:val="3"/>
        </w:numPr>
        <w:tabs>
          <w:tab w:val="left" w:pos="333"/>
        </w:tabs>
        <w:autoSpaceDE w:val="0"/>
        <w:autoSpaceDN w:val="0"/>
        <w:spacing w:before="60" w:after="60"/>
        <w:ind w:left="-90" w:right="-162" w:firstLine="360"/>
        <w:contextualSpacing w:val="0"/>
        <w:rPr>
          <w:rFonts w:ascii="Calibri" w:hAnsi="Calibri" w:cs="Calibri"/>
          <w:sz w:val="22"/>
          <w:szCs w:val="22"/>
        </w:rPr>
      </w:pPr>
      <w:r w:rsidRPr="000323D3">
        <w:rPr>
          <w:sz w:val="22"/>
        </w:rPr>
        <w:t xml:space="preserve">техническая квалификация, опыт и </w:t>
      </w:r>
    </w:p>
    <w:p w14:paraId="3F8B9D5B" w14:textId="77777777" w:rsidR="00CE12E3" w:rsidRPr="000323D3" w:rsidRDefault="00CE12E3" w:rsidP="007D250D">
      <w:pPr>
        <w:pStyle w:val="a7"/>
        <w:widowControl w:val="0"/>
        <w:numPr>
          <w:ilvl w:val="0"/>
          <w:numId w:val="3"/>
        </w:numPr>
        <w:tabs>
          <w:tab w:val="left" w:pos="333"/>
        </w:tabs>
        <w:autoSpaceDE w:val="0"/>
        <w:autoSpaceDN w:val="0"/>
        <w:spacing w:before="60" w:after="60"/>
        <w:ind w:left="-90" w:right="-162" w:firstLine="360"/>
        <w:contextualSpacing w:val="0"/>
        <w:rPr>
          <w:rFonts w:ascii="Calibri" w:hAnsi="Calibri" w:cs="Calibri"/>
          <w:sz w:val="22"/>
          <w:szCs w:val="22"/>
        </w:rPr>
      </w:pPr>
      <w:r w:rsidRPr="000323D3">
        <w:rPr>
          <w:sz w:val="22"/>
        </w:rPr>
        <w:t>финансовое предложение</w:t>
      </w:r>
    </w:p>
    <w:p w14:paraId="6A2087D8" w14:textId="77777777" w:rsidR="00CE12E3" w:rsidRPr="000323D3" w:rsidRDefault="00CE12E3" w:rsidP="00CE12E3">
      <w:pPr>
        <w:suppressAutoHyphens/>
        <w:spacing w:after="120"/>
        <w:ind w:left="-90" w:right="-162"/>
        <w:rPr>
          <w:rFonts w:ascii="Calibri" w:eastAsia="Calibri" w:hAnsi="Calibri" w:cs="Calibri"/>
          <w:sz w:val="22"/>
          <w:szCs w:val="22"/>
        </w:rPr>
      </w:pPr>
      <w:r w:rsidRPr="000323D3">
        <w:rPr>
          <w:sz w:val="22"/>
        </w:rPr>
        <w:t xml:space="preserve">Контракт будет присужден индивидуальному консультанту, предложение которого будет признано технически соответствующим/приемлемым требованиям ТЗ и получит наивысший совокупный технический и финансовый балл по установленным техническим и финансовым критериям. К финансовой оценке будут допущены только кандидаты, набравшие не менее 60 баллов (из 100) по </w:t>
      </w:r>
      <w:r w:rsidRPr="000323D3">
        <w:rPr>
          <w:sz w:val="22"/>
        </w:rPr>
        <w:lastRenderedPageBreak/>
        <w:t xml:space="preserve">технической оценке. EPIU может запросить письменные материалы и провести проверку рекомендаций (не менее 3 рекомендаций должны быть включены в сопроводительное письмо). </w:t>
      </w:r>
    </w:p>
    <w:p w14:paraId="7D0856DC" w14:textId="77777777" w:rsidR="00CE12E3" w:rsidRPr="000323D3" w:rsidRDefault="00CE12E3" w:rsidP="00CE12E3">
      <w:pPr>
        <w:suppressAutoHyphens/>
        <w:spacing w:after="240"/>
        <w:ind w:left="-90" w:right="-162"/>
        <w:rPr>
          <w:rFonts w:ascii="Calibri" w:hAnsi="Calibri" w:cs="Calibri"/>
          <w:sz w:val="22"/>
          <w:szCs w:val="22"/>
          <w:lang w:val="ru-RU"/>
        </w:rPr>
      </w:pPr>
      <w:r w:rsidRPr="000323D3">
        <w:rPr>
          <w:sz w:val="22"/>
        </w:rPr>
        <w:t>Техническая оценка будет включать кабинетный анализ и интервью с кандидатами, включенными в короткий список, для подтверждения компетенций в соответствии с критериями ТЗ.</w:t>
      </w:r>
    </w:p>
    <w:tbl>
      <w:tblPr>
        <w:tblStyle w:val="PlainTable11"/>
        <w:tblW w:w="10131" w:type="dxa"/>
        <w:jc w:val="center"/>
        <w:tblLook w:val="04A0" w:firstRow="1" w:lastRow="0" w:firstColumn="1" w:lastColumn="0" w:noHBand="0" w:noVBand="1"/>
      </w:tblPr>
      <w:tblGrid>
        <w:gridCol w:w="8236"/>
        <w:gridCol w:w="964"/>
        <w:gridCol w:w="931"/>
      </w:tblGrid>
      <w:tr w:rsidR="00CE12E3" w:rsidRPr="000323D3" w14:paraId="51B0CFED" w14:textId="77777777" w:rsidTr="00920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43F93D9E" w14:textId="77777777" w:rsidR="00CE12E3" w:rsidRPr="000323D3" w:rsidRDefault="00CE12E3" w:rsidP="00920493">
            <w:pPr>
              <w:rPr>
                <w:rFonts w:ascii="Calibri" w:hAnsi="Calibri" w:cs="Calibri"/>
                <w:b w:val="0"/>
                <w:iCs/>
                <w:color w:val="000000"/>
                <w:sz w:val="22"/>
                <w:szCs w:val="22"/>
              </w:rPr>
            </w:pPr>
            <w:r w:rsidRPr="000323D3">
              <w:rPr>
                <w:b w:val="0"/>
                <w:sz w:val="22"/>
              </w:rPr>
              <w:t>Требуемая квалификация</w:t>
            </w:r>
          </w:p>
        </w:tc>
        <w:tc>
          <w:tcPr>
            <w:tcW w:w="964" w:type="dxa"/>
          </w:tcPr>
          <w:p w14:paraId="4BBDAE70" w14:textId="77777777" w:rsidR="00CE12E3" w:rsidRPr="000323D3" w:rsidRDefault="00CE12E3" w:rsidP="009204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iCs/>
                <w:color w:val="000000"/>
                <w:sz w:val="22"/>
                <w:szCs w:val="22"/>
              </w:rPr>
            </w:pPr>
            <w:r w:rsidRPr="000323D3">
              <w:rPr>
                <w:b w:val="0"/>
                <w:sz w:val="22"/>
              </w:rPr>
              <w:t>Баллы</w:t>
            </w:r>
          </w:p>
        </w:tc>
        <w:tc>
          <w:tcPr>
            <w:tcW w:w="931" w:type="dxa"/>
          </w:tcPr>
          <w:p w14:paraId="46D9E8F0" w14:textId="77777777" w:rsidR="00CE12E3" w:rsidRPr="000323D3" w:rsidRDefault="00CE12E3" w:rsidP="009204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iCs/>
                <w:color w:val="000000"/>
                <w:sz w:val="22"/>
                <w:szCs w:val="22"/>
              </w:rPr>
            </w:pPr>
            <w:r w:rsidRPr="000323D3">
              <w:rPr>
                <w:b w:val="0"/>
                <w:sz w:val="22"/>
              </w:rPr>
              <w:t>Вес,</w:t>
            </w:r>
          </w:p>
          <w:p w14:paraId="30CA0865" w14:textId="77777777" w:rsidR="00CE12E3" w:rsidRPr="000323D3" w:rsidRDefault="00CE12E3" w:rsidP="009204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iCs/>
                <w:color w:val="000000"/>
                <w:sz w:val="22"/>
                <w:szCs w:val="22"/>
              </w:rPr>
            </w:pPr>
            <w:r w:rsidRPr="000323D3">
              <w:rPr>
                <w:b w:val="0"/>
                <w:sz w:val="22"/>
              </w:rPr>
              <w:t>%</w:t>
            </w:r>
          </w:p>
        </w:tc>
      </w:tr>
      <w:tr w:rsidR="00CE12E3" w:rsidRPr="000323D3" w14:paraId="73EA3F41" w14:textId="77777777" w:rsidTr="00920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07258AA6" w14:textId="77777777" w:rsidR="00CE12E3" w:rsidRPr="000323D3" w:rsidRDefault="00CE12E3" w:rsidP="00920493">
            <w:pPr>
              <w:rPr>
                <w:rFonts w:ascii="Calibri" w:hAnsi="Calibri" w:cs="Calibri"/>
                <w:b w:val="0"/>
                <w:iCs/>
                <w:color w:val="000000"/>
                <w:sz w:val="22"/>
                <w:szCs w:val="22"/>
              </w:rPr>
            </w:pPr>
            <w:r w:rsidRPr="000323D3">
              <w:rPr>
                <w:b w:val="0"/>
                <w:sz w:val="22"/>
                <w:u w:val="single"/>
              </w:rPr>
              <w:t>Образование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14:paraId="4644A3B9" w14:textId="77777777" w:rsidR="00CE12E3" w:rsidRPr="000323D3" w:rsidRDefault="00CE12E3" w:rsidP="00920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Calibri"/>
                <w:iCs/>
                <w:color w:val="000000"/>
                <w:sz w:val="22"/>
                <w:szCs w:val="22"/>
                <w:lang w:val="ru-RU"/>
              </w:rPr>
            </w:pPr>
            <w:r w:rsidRPr="000323D3">
              <w:rPr>
                <w:rFonts w:ascii="Calibri" w:hAnsi="Calibri" w:cs="Calibri"/>
                <w:iCs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931" w:type="dxa"/>
            <w:vMerge w:val="restart"/>
            <w:shd w:val="clear" w:color="auto" w:fill="auto"/>
            <w:vAlign w:val="center"/>
          </w:tcPr>
          <w:p w14:paraId="5249CA7F" w14:textId="77777777" w:rsidR="00CE12E3" w:rsidRPr="000323D3" w:rsidRDefault="00CE12E3" w:rsidP="00920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Cs/>
                <w:color w:val="000000"/>
                <w:sz w:val="22"/>
                <w:szCs w:val="22"/>
                <w:lang w:val="ru-RU"/>
              </w:rPr>
            </w:pPr>
            <w:r w:rsidRPr="000323D3">
              <w:rPr>
                <w:rFonts w:ascii="Calibri" w:hAnsi="Calibri" w:cs="Calibri"/>
                <w:iCs/>
                <w:color w:val="000000"/>
                <w:sz w:val="22"/>
                <w:szCs w:val="22"/>
                <w:lang w:val="ru-RU"/>
              </w:rPr>
              <w:t>5</w:t>
            </w:r>
            <w:r w:rsidRPr="000323D3">
              <w:rPr>
                <w:sz w:val="22"/>
              </w:rPr>
              <w:t>%</w:t>
            </w:r>
          </w:p>
        </w:tc>
      </w:tr>
      <w:tr w:rsidR="00CE12E3" w:rsidRPr="000323D3" w14:paraId="3CE3AD51" w14:textId="77777777" w:rsidTr="009204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7C8987A3" w14:textId="77777777" w:rsidR="00CE12E3" w:rsidRPr="000323D3" w:rsidRDefault="00CE12E3" w:rsidP="00920493">
            <w:pPr>
              <w:widowControl w:val="0"/>
              <w:tabs>
                <w:tab w:val="left" w:pos="333"/>
              </w:tabs>
              <w:autoSpaceDE w:val="0"/>
              <w:autoSpaceDN w:val="0"/>
              <w:ind w:right="101"/>
              <w:rPr>
                <w:rFonts w:ascii="Arial" w:hAnsi="Arial" w:cs="Calibri"/>
                <w:b w:val="0"/>
                <w:sz w:val="22"/>
                <w:szCs w:val="22"/>
              </w:rPr>
            </w:pPr>
            <w:r w:rsidRPr="000323D3">
              <w:rPr>
                <w:b w:val="0"/>
                <w:sz w:val="22"/>
              </w:rPr>
              <w:t>Степень магистра</w:t>
            </w:r>
            <w:r w:rsidRPr="000323D3">
              <w:rPr>
                <w:b w:val="0"/>
                <w:sz w:val="22"/>
                <w:lang w:val="ru-RU"/>
              </w:rPr>
              <w:t xml:space="preserve"> в</w:t>
            </w:r>
            <w:r w:rsidRPr="000323D3">
              <w:rPr>
                <w:b w:val="0"/>
                <w:sz w:val="22"/>
              </w:rPr>
              <w:t xml:space="preserve"> области агроэкологических наук, экологической экономики, сельского хозяйства, управления природными ресурсами, экологической политики, сельского развития или другой тесно связанной области.</w:t>
            </w:r>
          </w:p>
        </w:tc>
        <w:tc>
          <w:tcPr>
            <w:tcW w:w="964" w:type="dxa"/>
            <w:vMerge/>
          </w:tcPr>
          <w:p w14:paraId="43256F20" w14:textId="77777777" w:rsidR="00CE12E3" w:rsidRPr="000323D3" w:rsidRDefault="00CE12E3" w:rsidP="00920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vMerge/>
          </w:tcPr>
          <w:p w14:paraId="0E2502A8" w14:textId="77777777" w:rsidR="00CE12E3" w:rsidRPr="000323D3" w:rsidRDefault="00CE12E3" w:rsidP="00920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12E3" w:rsidRPr="000323D3" w14:paraId="2A42EA73" w14:textId="77777777" w:rsidTr="00920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057CBE71" w14:textId="77777777" w:rsidR="00CE12E3" w:rsidRPr="000323D3" w:rsidRDefault="00CE12E3" w:rsidP="00920493">
            <w:pPr>
              <w:widowControl w:val="0"/>
              <w:tabs>
                <w:tab w:val="left" w:pos="333"/>
              </w:tabs>
              <w:autoSpaceDE w:val="0"/>
              <w:autoSpaceDN w:val="0"/>
              <w:ind w:right="101"/>
              <w:rPr>
                <w:b w:val="0"/>
                <w:sz w:val="22"/>
              </w:rPr>
            </w:pPr>
            <w:r w:rsidRPr="000323D3">
              <w:rPr>
                <w:rFonts w:ascii="Arial" w:hAnsi="Arial"/>
                <w:b w:val="0"/>
                <w:sz w:val="22"/>
                <w:lang w:val="ru-RU"/>
              </w:rPr>
              <w:t>Более высокая степень образования в</w:t>
            </w:r>
            <w:r w:rsidRPr="000323D3">
              <w:rPr>
                <w:b w:val="0"/>
                <w:sz w:val="22"/>
              </w:rPr>
              <w:t xml:space="preserve"> области агроэкологических наук, экологической экономики, сельского хозяйства, управления природными ресурсами, экологической политики, сельского развития или другой тесно связанной области.</w:t>
            </w:r>
          </w:p>
        </w:tc>
        <w:tc>
          <w:tcPr>
            <w:tcW w:w="964" w:type="dxa"/>
            <w:vAlign w:val="center"/>
          </w:tcPr>
          <w:p w14:paraId="1DA2A981" w14:textId="77777777" w:rsidR="00CE12E3" w:rsidRPr="000323D3" w:rsidRDefault="00CE12E3" w:rsidP="00920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0323D3">
              <w:rPr>
                <w:sz w:val="22"/>
              </w:rPr>
              <w:t>15</w:t>
            </w:r>
          </w:p>
        </w:tc>
        <w:tc>
          <w:tcPr>
            <w:tcW w:w="931" w:type="dxa"/>
            <w:vAlign w:val="center"/>
          </w:tcPr>
          <w:p w14:paraId="044D730A" w14:textId="77777777" w:rsidR="00CE12E3" w:rsidRPr="000323D3" w:rsidRDefault="00CE12E3" w:rsidP="00920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0323D3">
              <w:rPr>
                <w:sz w:val="22"/>
                <w:lang w:val="ru-RU"/>
              </w:rPr>
              <w:t>15</w:t>
            </w:r>
            <w:r w:rsidRPr="000323D3">
              <w:rPr>
                <w:sz w:val="22"/>
              </w:rPr>
              <w:t>%</w:t>
            </w:r>
          </w:p>
        </w:tc>
      </w:tr>
      <w:tr w:rsidR="00CE12E3" w:rsidRPr="000323D3" w14:paraId="1BD3EF71" w14:textId="77777777" w:rsidTr="00920493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642910DF" w14:textId="77777777" w:rsidR="00CE12E3" w:rsidRPr="000323D3" w:rsidRDefault="00CE12E3" w:rsidP="00920493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0323D3">
              <w:rPr>
                <w:b w:val="0"/>
                <w:sz w:val="22"/>
                <w:u w:val="single"/>
              </w:rPr>
              <w:t>Опыт</w:t>
            </w:r>
          </w:p>
        </w:tc>
        <w:tc>
          <w:tcPr>
            <w:tcW w:w="964" w:type="dxa"/>
          </w:tcPr>
          <w:p w14:paraId="167925B6" w14:textId="77777777" w:rsidR="00CE12E3" w:rsidRPr="000323D3" w:rsidRDefault="00CE12E3" w:rsidP="00920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</w:tcPr>
          <w:p w14:paraId="40A883C5" w14:textId="77777777" w:rsidR="00CE12E3" w:rsidRPr="000323D3" w:rsidRDefault="00CE12E3" w:rsidP="00920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12E3" w:rsidRPr="000323D3" w14:paraId="7916145C" w14:textId="77777777" w:rsidTr="00920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2C95717B" w14:textId="77777777" w:rsidR="00CE12E3" w:rsidRPr="000323D3" w:rsidRDefault="00CE12E3" w:rsidP="00920493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323D3">
              <w:rPr>
                <w:b w:val="0"/>
                <w:sz w:val="22"/>
              </w:rPr>
              <w:t>Не менее 5 лет подтвержденного профессионального опыта в разработке, развитии политики или консультативной поддержке схем агроэкологических платежей (AES/AEPS), платежей за экосистемные услуги (PES) или аналогичных стимулирующих инструментов экологического финансирования, поддерживающих устойчивое управление земельными ресурсами и сохранение биоразнообразия.</w:t>
            </w:r>
          </w:p>
        </w:tc>
        <w:tc>
          <w:tcPr>
            <w:tcW w:w="964" w:type="dxa"/>
            <w:vAlign w:val="center"/>
          </w:tcPr>
          <w:p w14:paraId="7C2F54B2" w14:textId="77777777" w:rsidR="00CE12E3" w:rsidRPr="000323D3" w:rsidRDefault="00CE12E3" w:rsidP="00920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3D3">
              <w:rPr>
                <w:sz w:val="22"/>
              </w:rPr>
              <w:t>20</w:t>
            </w:r>
          </w:p>
        </w:tc>
        <w:tc>
          <w:tcPr>
            <w:tcW w:w="931" w:type="dxa"/>
            <w:vMerge w:val="restart"/>
            <w:vAlign w:val="center"/>
          </w:tcPr>
          <w:p w14:paraId="3ED128C6" w14:textId="77777777" w:rsidR="00CE12E3" w:rsidRPr="000323D3" w:rsidRDefault="00CE12E3" w:rsidP="00920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3D3">
              <w:rPr>
                <w:sz w:val="22"/>
              </w:rPr>
              <w:t>60%</w:t>
            </w:r>
          </w:p>
        </w:tc>
      </w:tr>
      <w:tr w:rsidR="00CE12E3" w:rsidRPr="000323D3" w14:paraId="11D6ABC9" w14:textId="77777777" w:rsidTr="00920493">
        <w:trPr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5F1804DB" w14:textId="77777777" w:rsidR="00CE12E3" w:rsidRPr="000323D3" w:rsidRDefault="00CE12E3" w:rsidP="00920493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323D3">
              <w:rPr>
                <w:b w:val="0"/>
                <w:sz w:val="22"/>
              </w:rPr>
              <w:t>Подтвержденная высокоуровневая техническая экспертиза в области агроэкологических мер, устойчивых сельскохозяйственных практик, нейтральности деградации земель (LDN) и ландшафтных подходов к управлению экосистемами.</w:t>
            </w:r>
          </w:p>
        </w:tc>
        <w:tc>
          <w:tcPr>
            <w:tcW w:w="964" w:type="dxa"/>
            <w:vAlign w:val="center"/>
          </w:tcPr>
          <w:p w14:paraId="377F3414" w14:textId="77777777" w:rsidR="00CE12E3" w:rsidRPr="000323D3" w:rsidRDefault="00CE12E3" w:rsidP="009204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3D3">
              <w:rPr>
                <w:sz w:val="22"/>
              </w:rPr>
              <w:t>20</w:t>
            </w:r>
          </w:p>
        </w:tc>
        <w:tc>
          <w:tcPr>
            <w:tcW w:w="931" w:type="dxa"/>
            <w:vMerge/>
          </w:tcPr>
          <w:p w14:paraId="25FDBA09" w14:textId="77777777" w:rsidR="00CE12E3" w:rsidRPr="000323D3" w:rsidRDefault="00CE12E3" w:rsidP="00920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12E3" w:rsidRPr="000323D3" w14:paraId="2B2003B5" w14:textId="77777777" w:rsidTr="00920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7389008E" w14:textId="77777777" w:rsidR="00CE12E3" w:rsidRPr="000323D3" w:rsidRDefault="00CE12E3" w:rsidP="00920493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323D3">
              <w:rPr>
                <w:b w:val="0"/>
                <w:sz w:val="22"/>
              </w:rPr>
              <w:t>Подтвержденный опыт применения рамок, методологий и защитных механизмов ПРООН и/или ГЭФ, включая Социальные и экологические стандарты (SES), в сложных многосторонних проектах</w:t>
            </w:r>
          </w:p>
        </w:tc>
        <w:tc>
          <w:tcPr>
            <w:tcW w:w="964" w:type="dxa"/>
            <w:vAlign w:val="center"/>
          </w:tcPr>
          <w:p w14:paraId="69E72CD0" w14:textId="77777777" w:rsidR="00CE12E3" w:rsidRPr="000323D3" w:rsidRDefault="00CE12E3" w:rsidP="00920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3D3">
              <w:rPr>
                <w:sz w:val="22"/>
              </w:rPr>
              <w:t>10</w:t>
            </w:r>
          </w:p>
        </w:tc>
        <w:tc>
          <w:tcPr>
            <w:tcW w:w="931" w:type="dxa"/>
            <w:vMerge/>
          </w:tcPr>
          <w:p w14:paraId="64AF10AF" w14:textId="77777777" w:rsidR="00CE12E3" w:rsidRPr="000323D3" w:rsidRDefault="00CE12E3" w:rsidP="00920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12E3" w:rsidRPr="000323D3" w14:paraId="64E73646" w14:textId="77777777" w:rsidTr="00920493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063B1372" w14:textId="77777777" w:rsidR="00CE12E3" w:rsidRPr="000323D3" w:rsidRDefault="00CE12E3" w:rsidP="00920493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0323D3">
              <w:rPr>
                <w:b w:val="0"/>
                <w:sz w:val="22"/>
              </w:rPr>
              <w:t>Предыдущий профессиональный опыт в Восточной Европе, странах СНГ или сопоставимых институциональных контекстах считается значительным преимуществом.</w:t>
            </w:r>
          </w:p>
        </w:tc>
        <w:tc>
          <w:tcPr>
            <w:tcW w:w="964" w:type="dxa"/>
            <w:vAlign w:val="center"/>
          </w:tcPr>
          <w:p w14:paraId="2365A3FA" w14:textId="77777777" w:rsidR="00CE12E3" w:rsidRPr="000323D3" w:rsidRDefault="00CE12E3" w:rsidP="009204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3D3">
              <w:rPr>
                <w:sz w:val="22"/>
              </w:rPr>
              <w:t>10</w:t>
            </w:r>
          </w:p>
        </w:tc>
        <w:tc>
          <w:tcPr>
            <w:tcW w:w="931" w:type="dxa"/>
            <w:vMerge/>
          </w:tcPr>
          <w:p w14:paraId="0D508411" w14:textId="77777777" w:rsidR="00CE12E3" w:rsidRPr="000323D3" w:rsidRDefault="00CE12E3" w:rsidP="00920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12E3" w:rsidRPr="000323D3" w14:paraId="5F3B1CF3" w14:textId="77777777" w:rsidTr="00920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1519FAD1" w14:textId="77777777" w:rsidR="00CE12E3" w:rsidRPr="000323D3" w:rsidRDefault="00CE12E3" w:rsidP="00920493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323D3">
              <w:rPr>
                <w:b w:val="0"/>
                <w:sz w:val="22"/>
              </w:rPr>
              <w:t>Хорошее понимание программной логики ГЭФ, рамок результатов и проектных циклов.</w:t>
            </w:r>
          </w:p>
        </w:tc>
        <w:tc>
          <w:tcPr>
            <w:tcW w:w="964" w:type="dxa"/>
            <w:vAlign w:val="center"/>
          </w:tcPr>
          <w:p w14:paraId="20B7E02C" w14:textId="77777777" w:rsidR="00CE12E3" w:rsidRPr="000323D3" w:rsidRDefault="00CE12E3" w:rsidP="00920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3D3">
              <w:rPr>
                <w:sz w:val="22"/>
              </w:rPr>
              <w:t>5</w:t>
            </w:r>
          </w:p>
        </w:tc>
        <w:tc>
          <w:tcPr>
            <w:tcW w:w="931" w:type="dxa"/>
            <w:vMerge/>
          </w:tcPr>
          <w:p w14:paraId="491FACF5" w14:textId="77777777" w:rsidR="00CE12E3" w:rsidRPr="000323D3" w:rsidRDefault="00CE12E3" w:rsidP="00920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12E3" w:rsidRPr="000323D3" w14:paraId="79C9935F" w14:textId="77777777" w:rsidTr="00920493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79D29055" w14:textId="77777777" w:rsidR="00CE12E3" w:rsidRPr="000323D3" w:rsidRDefault="00CE12E3" w:rsidP="00920493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323D3">
              <w:rPr>
                <w:b w:val="0"/>
                <w:sz w:val="22"/>
              </w:rPr>
              <w:t>Подтвержденные знания гендерно-ориентированных и социально инклюзивных подходов в агроэкологических схемах и сельском развитии;</w:t>
            </w:r>
          </w:p>
        </w:tc>
        <w:tc>
          <w:tcPr>
            <w:tcW w:w="964" w:type="dxa"/>
            <w:vAlign w:val="center"/>
          </w:tcPr>
          <w:p w14:paraId="1DF808F6" w14:textId="77777777" w:rsidR="00CE12E3" w:rsidRPr="000323D3" w:rsidRDefault="00CE12E3" w:rsidP="009204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3D3">
              <w:rPr>
                <w:sz w:val="22"/>
              </w:rPr>
              <w:t>5</w:t>
            </w:r>
          </w:p>
        </w:tc>
        <w:tc>
          <w:tcPr>
            <w:tcW w:w="931" w:type="dxa"/>
            <w:vMerge/>
          </w:tcPr>
          <w:p w14:paraId="4F7C976A" w14:textId="77777777" w:rsidR="00CE12E3" w:rsidRPr="000323D3" w:rsidRDefault="00CE12E3" w:rsidP="00920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12E3" w:rsidRPr="000323D3" w14:paraId="286780B2" w14:textId="77777777" w:rsidTr="00920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4527A9DC" w14:textId="77777777" w:rsidR="00CE12E3" w:rsidRPr="000323D3" w:rsidRDefault="00CE12E3" w:rsidP="00920493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323D3">
              <w:rPr>
                <w:b w:val="0"/>
                <w:sz w:val="22"/>
                <w:u w:val="single"/>
              </w:rPr>
              <w:t>Интервью</w:t>
            </w:r>
          </w:p>
        </w:tc>
        <w:tc>
          <w:tcPr>
            <w:tcW w:w="964" w:type="dxa"/>
            <w:vAlign w:val="center"/>
          </w:tcPr>
          <w:p w14:paraId="1DAC2AA0" w14:textId="77777777" w:rsidR="00CE12E3" w:rsidRPr="000323D3" w:rsidRDefault="00CE12E3" w:rsidP="00920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</w:tcPr>
          <w:p w14:paraId="70EBFD76" w14:textId="77777777" w:rsidR="00CE12E3" w:rsidRPr="000323D3" w:rsidRDefault="00CE12E3" w:rsidP="00920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12E3" w:rsidRPr="000323D3" w14:paraId="759C888B" w14:textId="77777777" w:rsidTr="00920493">
        <w:trPr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25C0E4A3" w14:textId="77777777" w:rsidR="00CE12E3" w:rsidRPr="000323D3" w:rsidRDefault="00CE12E3" w:rsidP="00920493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323D3">
              <w:rPr>
                <w:b w:val="0"/>
                <w:sz w:val="22"/>
              </w:rPr>
              <w:t>Все кандидаты, вошедшие в короткий список, будут приглашены на интервью для подтверждения компетенций в соответствии с требованиями ТЗ.</w:t>
            </w:r>
          </w:p>
        </w:tc>
        <w:tc>
          <w:tcPr>
            <w:tcW w:w="964" w:type="dxa"/>
            <w:vAlign w:val="center"/>
          </w:tcPr>
          <w:p w14:paraId="74100EFD" w14:textId="77777777" w:rsidR="00CE12E3" w:rsidRPr="000323D3" w:rsidRDefault="00CE12E3" w:rsidP="009204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3D3">
              <w:rPr>
                <w:sz w:val="22"/>
              </w:rPr>
              <w:t>10</w:t>
            </w:r>
          </w:p>
        </w:tc>
        <w:tc>
          <w:tcPr>
            <w:tcW w:w="931" w:type="dxa"/>
            <w:vAlign w:val="center"/>
          </w:tcPr>
          <w:p w14:paraId="271BEE95" w14:textId="77777777" w:rsidR="00CE12E3" w:rsidRPr="000323D3" w:rsidRDefault="00CE12E3" w:rsidP="009204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3D3">
              <w:rPr>
                <w:sz w:val="22"/>
              </w:rPr>
              <w:t>10%</w:t>
            </w:r>
          </w:p>
        </w:tc>
      </w:tr>
      <w:tr w:rsidR="00CE12E3" w:rsidRPr="000323D3" w14:paraId="6C3B0B1D" w14:textId="77777777" w:rsidTr="00920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112F221A" w14:textId="77777777" w:rsidR="00CE12E3" w:rsidRPr="000323D3" w:rsidRDefault="00CE12E3" w:rsidP="00920493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0323D3">
              <w:rPr>
                <w:b w:val="0"/>
                <w:sz w:val="22"/>
                <w:u w:val="single"/>
              </w:rPr>
              <w:t xml:space="preserve">Язык  </w:t>
            </w:r>
          </w:p>
        </w:tc>
        <w:tc>
          <w:tcPr>
            <w:tcW w:w="964" w:type="dxa"/>
            <w:vAlign w:val="center"/>
          </w:tcPr>
          <w:p w14:paraId="583BFE9C" w14:textId="77777777" w:rsidR="00CE12E3" w:rsidRPr="000323D3" w:rsidRDefault="00CE12E3" w:rsidP="00920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</w:tcPr>
          <w:p w14:paraId="10A3853C" w14:textId="77777777" w:rsidR="00CE12E3" w:rsidRPr="000323D3" w:rsidRDefault="00CE12E3" w:rsidP="00920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12E3" w:rsidRPr="000323D3" w14:paraId="444E9963" w14:textId="77777777" w:rsidTr="00920493">
        <w:trPr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302639D8" w14:textId="77777777" w:rsidR="00CE12E3" w:rsidRPr="000323D3" w:rsidRDefault="00CE12E3" w:rsidP="00920493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iCs/>
                <w:color w:val="000000"/>
                <w:sz w:val="22"/>
                <w:szCs w:val="22"/>
                <w:u w:val="single"/>
              </w:rPr>
            </w:pPr>
            <w:r w:rsidRPr="000323D3">
              <w:rPr>
                <w:b w:val="0"/>
                <w:sz w:val="22"/>
              </w:rPr>
              <w:t>Свободное владение письменным и устным английским языком обязательно; знание русского языка является преимуществом.</w:t>
            </w:r>
          </w:p>
        </w:tc>
        <w:tc>
          <w:tcPr>
            <w:tcW w:w="964" w:type="dxa"/>
            <w:vAlign w:val="center"/>
          </w:tcPr>
          <w:p w14:paraId="4585D2EF" w14:textId="77777777" w:rsidR="00CE12E3" w:rsidRPr="000323D3" w:rsidRDefault="00CE12E3" w:rsidP="009204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3D3">
              <w:rPr>
                <w:sz w:val="22"/>
              </w:rPr>
              <w:t>5</w:t>
            </w:r>
          </w:p>
        </w:tc>
        <w:tc>
          <w:tcPr>
            <w:tcW w:w="931" w:type="dxa"/>
          </w:tcPr>
          <w:p w14:paraId="39F9EEE5" w14:textId="77777777" w:rsidR="00CE12E3" w:rsidRPr="000323D3" w:rsidRDefault="00CE12E3" w:rsidP="009204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3D3">
              <w:rPr>
                <w:sz w:val="22"/>
              </w:rPr>
              <w:t>10%</w:t>
            </w:r>
          </w:p>
        </w:tc>
      </w:tr>
    </w:tbl>
    <w:p w14:paraId="165F4EC6" w14:textId="77777777" w:rsidR="00CE12E3" w:rsidRPr="000323D3" w:rsidRDefault="00CE12E3" w:rsidP="007D250D">
      <w:pPr>
        <w:pStyle w:val="Normal1"/>
        <w:numPr>
          <w:ilvl w:val="0"/>
          <w:numId w:val="2"/>
        </w:numPr>
        <w:spacing w:before="360" w:beforeAutospacing="0" w:after="120"/>
        <w:ind w:left="188" w:right="-187" w:hanging="274"/>
        <w:rPr>
          <w:rFonts w:cs="Calibri"/>
          <w:bCs/>
        </w:rPr>
      </w:pPr>
      <w:r w:rsidRPr="000323D3">
        <w:t>ФИНАНСОВОЕ ПРЕДЛОЖЕНИЕ</w:t>
      </w:r>
    </w:p>
    <w:p w14:paraId="615DB34E" w14:textId="77777777" w:rsidR="00CE12E3" w:rsidRPr="000323D3" w:rsidRDefault="00CE12E3" w:rsidP="00CE12E3">
      <w:pPr>
        <w:suppressAutoHyphens/>
        <w:spacing w:before="120" w:after="120"/>
        <w:ind w:left="-180" w:right="-180"/>
        <w:rPr>
          <w:rFonts w:ascii="Calibri" w:hAnsi="Calibri" w:cs="Calibri"/>
          <w:sz w:val="22"/>
          <w:szCs w:val="22"/>
        </w:rPr>
      </w:pPr>
      <w:r w:rsidRPr="000323D3">
        <w:rPr>
          <w:sz w:val="22"/>
        </w:rPr>
        <w:t xml:space="preserve">После оценки технической части с кандидатами, вошедшими в короткий список, свяжутся для запроса финансового предложения с указанием единовременной суммы, включающей дневную ставку вознаграждения за выполнение данного задания и расходы, связанные с командировкой.   </w:t>
      </w:r>
    </w:p>
    <w:p w14:paraId="5F324657" w14:textId="77777777" w:rsidR="00825205" w:rsidRDefault="00825205" w:rsidP="00E53298">
      <w:pPr>
        <w:spacing w:line="360" w:lineRule="auto"/>
        <w:jc w:val="center"/>
        <w:rPr>
          <w:rFonts w:ascii="GHEA Grapalat" w:hAnsi="GHEA Grapalat" w:cs="Calibri"/>
          <w:b/>
          <w:bCs/>
          <w:sz w:val="20"/>
          <w:szCs w:val="20"/>
        </w:rPr>
      </w:pPr>
    </w:p>
    <w:p w14:paraId="79100D5C" w14:textId="77777777" w:rsidR="005259C1" w:rsidRDefault="005259C1" w:rsidP="006E05A1">
      <w:pPr>
        <w:tabs>
          <w:tab w:val="left" w:pos="0"/>
        </w:tabs>
        <w:spacing w:after="60"/>
        <w:jc w:val="both"/>
        <w:rPr>
          <w:rFonts w:ascii="GHEA Grapalat" w:hAnsi="GHEA Grapalat" w:cs="Calibri"/>
          <w:b/>
          <w:bCs/>
          <w:sz w:val="20"/>
          <w:szCs w:val="20"/>
        </w:rPr>
      </w:pPr>
    </w:p>
    <w:p w14:paraId="46C1F4A9" w14:textId="77777777" w:rsidR="00CE12E3" w:rsidRDefault="00CE12E3" w:rsidP="006E05A1">
      <w:pPr>
        <w:tabs>
          <w:tab w:val="left" w:pos="0"/>
        </w:tabs>
        <w:spacing w:after="60"/>
        <w:jc w:val="both"/>
        <w:rPr>
          <w:rFonts w:ascii="GHEA Grapalat" w:hAnsi="GHEA Grapalat" w:cs="Calibri"/>
          <w:b/>
          <w:bCs/>
          <w:sz w:val="20"/>
          <w:szCs w:val="20"/>
        </w:rPr>
      </w:pPr>
    </w:p>
    <w:p w14:paraId="77DD7C07" w14:textId="77777777" w:rsidR="005259C1" w:rsidRDefault="005259C1" w:rsidP="006E05A1">
      <w:pPr>
        <w:tabs>
          <w:tab w:val="left" w:pos="0"/>
        </w:tabs>
        <w:spacing w:after="60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</w:p>
    <w:p w14:paraId="7F79FE82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УСЛОВИЯ УЧАСТИЯ</w:t>
      </w:r>
    </w:p>
    <w:p w14:paraId="0625D0F1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 xml:space="preserve">1. Участник, желающий принять участие в процедуре предварительного квалификационного отбора, должен соответствовать требованиям, изложенным в настоящем объявлении и техническом задании. Участник считается соответствующим </w:t>
      </w:r>
      <w:r w:rsidRPr="005259C1">
        <w:rPr>
          <w:rFonts w:ascii="GHEA Grapalat" w:hAnsi="GHEA Grapalat" w:cs="Calibri"/>
          <w:b/>
          <w:sz w:val="22"/>
          <w:szCs w:val="22"/>
          <w:lang w:val="af-ZA"/>
        </w:rPr>
        <w:lastRenderedPageBreak/>
        <w:t>квалификационным критериям, изложенным в настоящем подразделе, если он представил требуемую информацию в заявке.</w:t>
      </w:r>
    </w:p>
    <w:p w14:paraId="73CD7002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</w:p>
    <w:p w14:paraId="2B4F015A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III. Упрощение получения и подачи заявок</w:t>
      </w:r>
    </w:p>
    <w:p w14:paraId="10F3A0A8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Как внести изменения</w:t>
      </w:r>
    </w:p>
    <w:p w14:paraId="6D670107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1. Участник вправе запросить у комиссии разъяснения по объявлению о предварительном квалификационном отборе не позднее, чем за один рабочий день до истечения срока подачи заявок на предварительный квалификационный отбор. При этом разъяснения могут быть запрошены до 17:00 дня, указанного в настоящем пункте (время места проведения процедуры). Комиссия предоставляет разъяснения участнику, подавшему запрос, в течение одного рабочего дня со дня получения запроса, но не позднее, чем за 3 часа до истечения срока подачи заявок.</w:t>
      </w:r>
    </w:p>
    <w:p w14:paraId="239F6BFF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Заявки на этапе предварительного квалификационного отбора.</w:t>
      </w:r>
    </w:p>
    <w:p w14:paraId="35FED241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Участник подает запрос, указанный в настоящем пункте, путем направления его на электронную почту секретаря комиссии.</w:t>
      </w:r>
    </w:p>
    <w:p w14:paraId="0BD4DF6F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Разъяснение по запросу направляется путем направления запроса на электронную почту участника с адреса электронной почты, предоставленного секретарем комиссии.</w:t>
      </w:r>
    </w:p>
    <w:p w14:paraId="008C544F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2. Объявление о содержании запроса и разъяснениях публикуется в бюллетене в день предоставления разъяснений без указания данных участника, направившего запрос.</w:t>
      </w:r>
    </w:p>
    <w:p w14:paraId="228B09E8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3. Разъяснение не предоставляется, если запрос был подан с нарушением срока, установленного настоящим пунктом, а также если запрос выходит за рамки содержания настоящего объявления. При этом участник уведомляется в письменной форме о причинах непредставления разъяснений в течение одного календарного дня со дня получения запроса.</w:t>
      </w:r>
    </w:p>
    <w:p w14:paraId="4B07CD64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 xml:space="preserve">4. Изменения в настоящее объявление могут быть внесены не позднее, чем за два рабочих дня до истечения срока подачи заявок. В первый рабочий день, следующий за днем </w:t>
      </w:r>
      <w:r w:rsidRPr="005259C1">
        <w:rPr>
          <w:rFonts w:ascii="Cambria Math" w:hAnsi="Cambria Math" w:cs="Cambria Math"/>
          <w:b/>
          <w:sz w:val="22"/>
          <w:szCs w:val="22"/>
          <w:lang w:val="af-ZA"/>
        </w:rPr>
        <w:t>​​</w:t>
      </w:r>
      <w:r w:rsidRPr="005259C1">
        <w:rPr>
          <w:rFonts w:ascii="GHEA Grapalat" w:hAnsi="GHEA Grapalat" w:cs="GHEA Grapalat"/>
          <w:b/>
          <w:sz w:val="22"/>
          <w:szCs w:val="22"/>
          <w:lang w:val="af-ZA"/>
        </w:rPr>
        <w:t>внесения</w:t>
      </w:r>
      <w:r w:rsidRPr="005259C1">
        <w:rPr>
          <w:rFonts w:ascii="GHEA Grapalat" w:hAnsi="GHEA Grapalat" w:cs="Calibri"/>
          <w:b/>
          <w:sz w:val="22"/>
          <w:szCs w:val="22"/>
          <w:lang w:val="af-ZA"/>
        </w:rPr>
        <w:t xml:space="preserve"> </w:t>
      </w:r>
      <w:r w:rsidRPr="005259C1">
        <w:rPr>
          <w:rFonts w:ascii="GHEA Grapalat" w:hAnsi="GHEA Grapalat" w:cs="GHEA Grapalat"/>
          <w:b/>
          <w:sz w:val="22"/>
          <w:szCs w:val="22"/>
          <w:lang w:val="af-ZA"/>
        </w:rPr>
        <w:t>изменени</w:t>
      </w:r>
      <w:r w:rsidRPr="005259C1">
        <w:rPr>
          <w:rFonts w:ascii="GHEA Grapalat" w:hAnsi="GHEA Grapalat" w:cs="Calibri"/>
          <w:b/>
          <w:sz w:val="22"/>
          <w:szCs w:val="22"/>
          <w:lang w:val="af-ZA"/>
        </w:rPr>
        <w:t>й, секретарь комиссии публикует объявление об изменении в бюллетене.</w:t>
      </w:r>
    </w:p>
    <w:p w14:paraId="055F5EF2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5. В случае внесения изменений в объявление о предварительном квалификационном отборе срок подачи заявок на предварительный квалификационный отбор исчисляется со дня публикации объявления об этих изменениях в бюллетене.</w:t>
      </w:r>
    </w:p>
    <w:p w14:paraId="36CA0B09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</w:p>
    <w:p w14:paraId="001616B0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IV. ПОРЯДОК ПОДАЧИ ЗАЯВКИ НА ПОДАЧУ ЗАЯВОК</w:t>
      </w:r>
    </w:p>
    <w:p w14:paraId="6A711D2D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1. Для участия в настоящей процедуре участник подает заявку в комиссию.</w:t>
      </w:r>
    </w:p>
    <w:p w14:paraId="10792CE1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2. Участник может подать заявку на предварительную квалификацию в комиссию в электронном виде, отправив электронное письмо секретарю оценочной комиссии по адресу: purchase@epiu.am</w:t>
      </w:r>
    </w:p>
    <w:p w14:paraId="13BB7993" w14:textId="07770A4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 xml:space="preserve">3. Заявки на участие в процедуре должны быть поданы в комиссию </w:t>
      </w:r>
      <w:r w:rsidRPr="00A63361">
        <w:rPr>
          <w:rFonts w:ascii="GHEA Grapalat" w:hAnsi="GHEA Grapalat" w:cs="Calibri"/>
          <w:b/>
          <w:sz w:val="22"/>
          <w:szCs w:val="22"/>
          <w:highlight w:val="yellow"/>
          <w:lang w:val="af-ZA"/>
        </w:rPr>
        <w:t>не позднее 1</w:t>
      </w:r>
      <w:r w:rsidR="005A1661">
        <w:rPr>
          <w:rFonts w:ascii="GHEA Grapalat" w:hAnsi="GHEA Grapalat" w:cs="Calibri"/>
          <w:b/>
          <w:sz w:val="22"/>
          <w:szCs w:val="22"/>
          <w:highlight w:val="yellow"/>
          <w:lang w:val="ru-RU"/>
        </w:rPr>
        <w:t>4</w:t>
      </w:r>
      <w:r w:rsidRPr="00A63361">
        <w:rPr>
          <w:rFonts w:ascii="GHEA Grapalat" w:hAnsi="GHEA Grapalat" w:cs="Calibri"/>
          <w:b/>
          <w:sz w:val="22"/>
          <w:szCs w:val="22"/>
          <w:highlight w:val="yellow"/>
          <w:lang w:val="af-ZA"/>
        </w:rPr>
        <w:t>:00</w:t>
      </w:r>
      <w:r w:rsidR="00A63361" w:rsidRPr="00A63361">
        <w:rPr>
          <w:rFonts w:ascii="GHEA Grapalat" w:hAnsi="GHEA Grapalat" w:cs="Calibri"/>
          <w:b/>
          <w:sz w:val="22"/>
          <w:szCs w:val="22"/>
          <w:highlight w:val="yellow"/>
          <w:lang w:val="ru-RU"/>
        </w:rPr>
        <w:t xml:space="preserve">   </w:t>
      </w:r>
      <w:r w:rsidR="005A1661">
        <w:rPr>
          <w:rFonts w:ascii="GHEA Grapalat" w:hAnsi="GHEA Grapalat" w:cs="Calibri"/>
          <w:b/>
          <w:sz w:val="22"/>
          <w:szCs w:val="22"/>
          <w:lang w:val="ru-RU"/>
        </w:rPr>
        <w:t>12 июня</w:t>
      </w:r>
      <w:r w:rsidRPr="005259C1">
        <w:rPr>
          <w:rFonts w:ascii="GHEA Grapalat" w:hAnsi="GHEA Grapalat" w:cs="Calibri"/>
          <w:b/>
          <w:sz w:val="22"/>
          <w:szCs w:val="22"/>
          <w:lang w:val="af-ZA"/>
        </w:rPr>
        <w:t xml:space="preserve"> .</w:t>
      </w:r>
    </w:p>
    <w:p w14:paraId="1A33BAF8" w14:textId="167AC3A3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Заявки на предварительную квалификацию необходимо подать в комиссию в срок, указанный в настоящем пункте, отправив их по электронной почте секретарю</w:t>
      </w:r>
      <w:r w:rsidR="00A63361">
        <w:rPr>
          <w:rFonts w:ascii="GHEA Grapalat" w:hAnsi="GHEA Grapalat" w:cs="Calibri"/>
          <w:b/>
          <w:sz w:val="22"/>
          <w:szCs w:val="22"/>
          <w:lang w:val="af-ZA"/>
        </w:rPr>
        <w:t xml:space="preserve"> оценочной комиссии по адресу: </w:t>
      </w:r>
      <w:hyperlink r:id="rId9" w:history="1">
        <w:r w:rsidR="00A63361" w:rsidRPr="00360981">
          <w:rPr>
            <w:rStyle w:val="af0"/>
            <w:rFonts w:ascii="GHEA Grapalat" w:hAnsi="GHEA Grapalat" w:cs="Calibri"/>
            <w:b/>
            <w:sz w:val="22"/>
            <w:szCs w:val="22"/>
            <w:lang w:val="en-US"/>
          </w:rPr>
          <w:t>procurement</w:t>
        </w:r>
        <w:r w:rsidR="00A63361" w:rsidRPr="00360981">
          <w:rPr>
            <w:rStyle w:val="af0"/>
            <w:rFonts w:ascii="GHEA Grapalat" w:hAnsi="GHEA Grapalat" w:cs="Calibri"/>
            <w:b/>
            <w:sz w:val="22"/>
            <w:szCs w:val="22"/>
            <w:lang w:val="af-ZA"/>
          </w:rPr>
          <w:t>@epiu.am</w:t>
        </w:r>
      </w:hyperlink>
      <w:r w:rsidR="00A63361">
        <w:rPr>
          <w:rFonts w:ascii="GHEA Grapalat" w:hAnsi="GHEA Grapalat" w:cs="Calibri"/>
          <w:b/>
          <w:sz w:val="22"/>
          <w:szCs w:val="22"/>
          <w:lang w:val="af-ZA"/>
        </w:rPr>
        <w:t xml:space="preserve">, </w:t>
      </w:r>
      <w:hyperlink r:id="rId10" w:history="1">
        <w:r w:rsidR="00A63361" w:rsidRPr="00360981">
          <w:rPr>
            <w:rStyle w:val="af0"/>
            <w:rFonts w:ascii="GHEA Grapalat" w:hAnsi="GHEA Grapalat" w:cs="Calibri"/>
            <w:b/>
            <w:sz w:val="22"/>
            <w:szCs w:val="22"/>
            <w:lang w:val="af-ZA"/>
          </w:rPr>
          <w:t>anna.hakobjan7222@gmail.com</w:t>
        </w:r>
      </w:hyperlink>
      <w:r w:rsidR="00A63361">
        <w:rPr>
          <w:rFonts w:ascii="GHEA Grapalat" w:hAnsi="GHEA Grapalat" w:cs="Calibri"/>
          <w:b/>
          <w:sz w:val="22"/>
          <w:szCs w:val="22"/>
          <w:lang w:val="af-ZA"/>
        </w:rPr>
        <w:t xml:space="preserve"> </w:t>
      </w:r>
    </w:p>
    <w:p w14:paraId="4D988945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4. Заявки на предварительную квалификацию принимает и регистрирует в журнале заявок Анна Акопян, исполняющая обязанности ведущего специалиста отдела управления и закупок Управления по реализации природоохранных программ Министерства окружающей среды.</w:t>
      </w:r>
    </w:p>
    <w:p w14:paraId="6FD6F959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 xml:space="preserve">Заявки регистрируются секретарем в журнале в порядке поступления с указанием регистрационного номера, даты и времени в журнале. Сертификат </w:t>
      </w:r>
      <w:r w:rsidRPr="005259C1">
        <w:rPr>
          <w:rFonts w:ascii="GHEA Grapalat" w:hAnsi="GHEA Grapalat" w:cs="Calibri"/>
          <w:b/>
          <w:sz w:val="22"/>
          <w:szCs w:val="22"/>
          <w:lang w:val="af-ZA"/>
        </w:rPr>
        <w:lastRenderedPageBreak/>
        <w:t>выдается по заявлению участника. Заявки, поданные после истечения срока подачи заявок, в реестре не регистрируются и возвращаются секретарем в течение двух рабочих дней со дня их получения.</w:t>
      </w:r>
    </w:p>
    <w:p w14:paraId="2528D102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5. На этапе предквалификации участник представляет:</w:t>
      </w:r>
    </w:p>
    <w:p w14:paraId="29E6EF01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1) письменное заявление об участии в процедуре предквалификации, утвержденное им в соответствии с Приложением № 1;</w:t>
      </w:r>
    </w:p>
    <w:p w14:paraId="1B6BB276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2) заявление, утвержденное им в соответствии с Приложением № 2, о соответствии требованиям квалификационного критерия «Соответствие профессиональной деятельности деятельности, предусмотренной договором», установленным настоящим объявлением;</w:t>
      </w:r>
    </w:p>
    <w:p w14:paraId="0DAA1C15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3) участники – физические лица также представляют резюме (CV), утвержденное данным лицом;</w:t>
      </w:r>
    </w:p>
    <w:p w14:paraId="5204027B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4) копию договора о совместной деятельности, если участники участвуют в данной процедуре в качестве совместного предприятия (консорциума).</w:t>
      </w:r>
    </w:p>
    <w:p w14:paraId="5D2C637F" w14:textId="7EE01301" w:rsidR="00E925BE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6. Заявки на предквалификацию, помимо армянского языка, могут быть поданы также на английском или русском языках. 7. Документы, оформляемые участником в соответствии с настоящим объявлением, подписываются лицом, их представляющим, или уполномоченным им лицом (далее – агент). В случае подачи заявки на участие в предварительной квалификации агентом, документ, подтверждающий предоставление ему таких полномочий, должен быть представлен вместе с заявкой. При необходимости участник вправе представить требуемую информацию иными способами, нежели предложенные в настоящем объявлении, с соблюдением необходимых условий действительности.</w:t>
      </w:r>
    </w:p>
    <w:p w14:paraId="754603E6" w14:textId="77777777" w:rsidR="005259C1" w:rsidRPr="00CA0534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</w:rPr>
      </w:pPr>
    </w:p>
    <w:p w14:paraId="292BEA3A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V. ВСКРЫТИЕ, ОЦЕНКА И ПОДВЕДЕНИЕ РЕЗУЛЬТАТОВ</w:t>
      </w:r>
    </w:p>
    <w:p w14:paraId="14C58412" w14:textId="2F99111B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1. Вскрытие, оценка и подведение итогов по предквалификационным заявкам проводятся на заседании по вскрыт</w:t>
      </w:r>
      <w:r w:rsidR="005C68FC">
        <w:rPr>
          <w:rFonts w:ascii="GHEA Grapalat" w:hAnsi="GHEA Grapalat" w:cs="Calibri"/>
          <w:b/>
          <w:noProof/>
          <w:szCs w:val="22"/>
          <w:lang w:val="af-ZA"/>
        </w:rPr>
        <w:t>ию предквалификационных заявок</w:t>
      </w:r>
      <w:r w:rsidR="005C68FC">
        <w:rPr>
          <w:rFonts w:ascii="GHEA Grapalat" w:hAnsi="GHEA Grapalat" w:cs="Calibri"/>
          <w:b/>
          <w:noProof/>
          <w:szCs w:val="22"/>
          <w:lang w:val="ru-RU"/>
        </w:rPr>
        <w:t xml:space="preserve"> </w:t>
      </w:r>
      <w:r w:rsidR="005A1661" w:rsidRPr="005A1661">
        <w:rPr>
          <w:rFonts w:ascii="GHEA Grapalat" w:hAnsi="GHEA Grapalat" w:cs="Calibri"/>
          <w:b/>
          <w:noProof/>
          <w:szCs w:val="22"/>
          <w:highlight w:val="yellow"/>
          <w:lang w:val="ru-RU"/>
        </w:rPr>
        <w:t>12 июня</w:t>
      </w:r>
      <w:r w:rsidRPr="005C68FC">
        <w:rPr>
          <w:rFonts w:ascii="GHEA Grapalat" w:hAnsi="GHEA Grapalat" w:cs="Calibri"/>
          <w:b/>
          <w:noProof/>
          <w:szCs w:val="22"/>
          <w:highlight w:val="yellow"/>
          <w:lang w:val="af-ZA"/>
        </w:rPr>
        <w:t xml:space="preserve"> в 1</w:t>
      </w:r>
      <w:r w:rsidR="005A1661">
        <w:rPr>
          <w:rFonts w:ascii="GHEA Grapalat" w:hAnsi="GHEA Grapalat" w:cs="Calibri"/>
          <w:b/>
          <w:noProof/>
          <w:szCs w:val="22"/>
          <w:highlight w:val="yellow"/>
          <w:lang w:val="ru-RU"/>
        </w:rPr>
        <w:t>4</w:t>
      </w:r>
      <w:r w:rsidRPr="005C68FC">
        <w:rPr>
          <w:rFonts w:ascii="GHEA Grapalat" w:hAnsi="GHEA Grapalat" w:cs="Calibri"/>
          <w:b/>
          <w:noProof/>
          <w:szCs w:val="22"/>
          <w:highlight w:val="yellow"/>
          <w:lang w:val="af-ZA"/>
        </w:rPr>
        <w:t>:00</w:t>
      </w:r>
      <w:r w:rsidRPr="005259C1">
        <w:rPr>
          <w:rFonts w:ascii="GHEA Grapalat" w:hAnsi="GHEA Grapalat" w:cs="Calibri"/>
          <w:b/>
          <w:noProof/>
          <w:szCs w:val="22"/>
          <w:lang w:val="af-ZA"/>
        </w:rPr>
        <w:t xml:space="preserve"> по адресу: г. Ереван, ул. Тиграна Меца, 65А.</w:t>
      </w:r>
    </w:p>
    <w:p w14:paraId="78686793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2. На заседании по вскрытию и оценке предквалификационных заявок:</w:t>
      </w:r>
    </w:p>
    <w:p w14:paraId="585A65B7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1) секретарь комиссии предоставляет информацию о записях, внесенных в реестр, и передает председателю комиссии реестр заявок, другие документы, являющиеся его неотъемлемой частью, и зарегистрированные заявки.</w:t>
      </w:r>
    </w:p>
    <w:p w14:paraId="1EFD0C4D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2) После передачи председателю (председателю заседания) документов, указанных в подпункте 1 настоящего пункта, комиссия оценивает: наличие необходимых (планируемых) документов и соответствие их оформления условиям годности, установленным настоящим объявлением.</w:t>
      </w:r>
    </w:p>
    <w:p w14:paraId="6CCDB23F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lastRenderedPageBreak/>
        <w:t>3. Предложения, соответствующие условиям, указанным в настоящем объявлении, считаются удовлетворительными. В противном случае предквалификационные заявки оцениваются как неудовлетворительные и отклоняются.</w:t>
      </w:r>
    </w:p>
    <w:p w14:paraId="2A3C17A5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Если в результате оценки, проведенной в ходе вскрытия заявок на предварительный квалификационный отбор, в заявке участника выявлены несоответствия требованиям настоящего объявления, комиссия приостанавливает заседание на один рабочий день, о чем секретарь комиссии в тот же день уведомляет участника в электронном виде с предложением устранить их до истечения срока приостановления. При этом настоящим пунктом установлено:</w:t>
      </w:r>
    </w:p>
    <w:p w14:paraId="5E63D90D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1) выявленные несоответствия должны быть подробно описаны в предложении.</w:t>
      </w:r>
    </w:p>
    <w:p w14:paraId="378AA5D5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2) Предложение направляется участнику путем отправки с адреса электронной почты секретаря, указанного в настоящем объявлении, на адрес электронной почты, указанный в заявке участника.</w:t>
      </w:r>
    </w:p>
    <w:p w14:paraId="5D08BB9C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4. В случае устранения участником выявленных несоответствий в течение указанного срока, заявка последнего считается удовлетворительной. В противном случае заявка оценивается как неудовлетворительная и отклоняется. Участник представляет исправленные документы с адреса электронной почты, указанного в заявке на участие в настоящей процедуре, на адрес электронной почты секретаря комиссии, указанный в настоящем объявлении.</w:t>
      </w:r>
    </w:p>
    <w:p w14:paraId="33124AB5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 xml:space="preserve">5. Член Комиссии или Секретарь Комиссии не вправе участвовать в работе Комиссии, если на заседании по рассмотрению заявок на участие в предквалификационном отборе будет установлено, что организация, учредителем которой они являются или в которой они имеют долю (долю), либо лицо, состоящее с ними в близком родстве или свойстве (родитель, супруг, ребенок, брат, сестра, а также родитель, ребенок, брат, сестра супруга), либо организация, учредителем которой они являются или имеют долю (долю), подала заявку на участие в данной </w:t>
      </w:r>
      <w:r w:rsidRPr="005259C1">
        <w:rPr>
          <w:rFonts w:ascii="GHEA Grapalat" w:hAnsi="GHEA Grapalat" w:cs="Calibri"/>
          <w:b/>
          <w:noProof/>
          <w:szCs w:val="22"/>
          <w:lang w:val="af-ZA"/>
        </w:rPr>
        <w:lastRenderedPageBreak/>
        <w:t>процедуре. При выполнении условия, указанного в настоящем пункте, член Комиссии или Секретарь, у которого возник конфликт интересов в связи с данной процедурой, немедленно после заседания по рассмотрению заявок на участие в предквалификационном отборе, обязан отказаться от участия в данной процедуре.</w:t>
      </w:r>
    </w:p>
    <w:p w14:paraId="5FC8BEF8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 xml:space="preserve">6. О вскрытии, оценке и подведении итогов рассмотрения заявок составляется протокол, в котором также утверждается список участников, прошедших предквалификационный отбор. Секретарь Комиссии обязан не позднее рабочего дня, следующего за днем </w:t>
      </w:r>
      <w:r w:rsidRPr="005259C1">
        <w:rPr>
          <w:rFonts w:ascii="Cambria Math" w:hAnsi="Cambria Math" w:cs="Cambria Math"/>
          <w:b/>
          <w:noProof/>
          <w:szCs w:val="22"/>
          <w:lang w:val="af-ZA"/>
        </w:rPr>
        <w:t>​​</w:t>
      </w:r>
      <w:r w:rsidRPr="005259C1">
        <w:rPr>
          <w:rFonts w:ascii="GHEA Grapalat" w:hAnsi="GHEA Grapalat" w:cs="GHEA Grapalat"/>
          <w:b/>
          <w:noProof/>
          <w:szCs w:val="22"/>
          <w:lang w:val="af-ZA"/>
        </w:rPr>
        <w:t>окончания</w:t>
      </w:r>
      <w:r w:rsidRPr="005259C1">
        <w:rPr>
          <w:rFonts w:ascii="GHEA Grapalat" w:hAnsi="GHEA Grapalat" w:cs="Calibri"/>
          <w:b/>
          <w:noProof/>
          <w:szCs w:val="22"/>
          <w:lang w:val="af-ZA"/>
        </w:rPr>
        <w:t xml:space="preserve"> </w:t>
      </w:r>
      <w:r w:rsidRPr="005259C1">
        <w:rPr>
          <w:rFonts w:ascii="GHEA Grapalat" w:hAnsi="GHEA Grapalat" w:cs="GHEA Grapalat"/>
          <w:b/>
          <w:noProof/>
          <w:szCs w:val="22"/>
          <w:lang w:val="af-ZA"/>
        </w:rPr>
        <w:t>заседания</w:t>
      </w:r>
      <w:r w:rsidRPr="005259C1">
        <w:rPr>
          <w:rFonts w:ascii="GHEA Grapalat" w:hAnsi="GHEA Grapalat" w:cs="Calibri"/>
          <w:b/>
          <w:noProof/>
          <w:szCs w:val="22"/>
          <w:lang w:val="af-ZA"/>
        </w:rPr>
        <w:t xml:space="preserve"> </w:t>
      </w:r>
      <w:r w:rsidRPr="005259C1">
        <w:rPr>
          <w:rFonts w:ascii="GHEA Grapalat" w:hAnsi="GHEA Grapalat" w:cs="GHEA Grapalat"/>
          <w:b/>
          <w:noProof/>
          <w:szCs w:val="22"/>
          <w:lang w:val="af-ZA"/>
        </w:rPr>
        <w:t>по</w:t>
      </w:r>
      <w:r w:rsidRPr="005259C1">
        <w:rPr>
          <w:rFonts w:ascii="GHEA Grapalat" w:hAnsi="GHEA Grapalat" w:cs="Calibri"/>
          <w:b/>
          <w:noProof/>
          <w:szCs w:val="22"/>
          <w:lang w:val="af-ZA"/>
        </w:rPr>
        <w:t xml:space="preserve"> </w:t>
      </w:r>
      <w:r w:rsidRPr="005259C1">
        <w:rPr>
          <w:rFonts w:ascii="GHEA Grapalat" w:hAnsi="GHEA Grapalat" w:cs="GHEA Grapalat"/>
          <w:b/>
          <w:noProof/>
          <w:szCs w:val="22"/>
          <w:lang w:val="af-ZA"/>
        </w:rPr>
        <w:t>рассмотрению</w:t>
      </w:r>
      <w:r w:rsidRPr="005259C1">
        <w:rPr>
          <w:rFonts w:ascii="GHEA Grapalat" w:hAnsi="GHEA Grapalat" w:cs="Calibri"/>
          <w:b/>
          <w:noProof/>
          <w:szCs w:val="22"/>
          <w:lang w:val="af-ZA"/>
        </w:rPr>
        <w:t xml:space="preserve"> </w:t>
      </w:r>
      <w:r w:rsidRPr="005259C1">
        <w:rPr>
          <w:rFonts w:ascii="GHEA Grapalat" w:hAnsi="GHEA Grapalat" w:cs="GHEA Grapalat"/>
          <w:b/>
          <w:noProof/>
          <w:szCs w:val="22"/>
          <w:lang w:val="af-ZA"/>
        </w:rPr>
        <w:t>заявок</w:t>
      </w:r>
      <w:r w:rsidRPr="005259C1">
        <w:rPr>
          <w:rFonts w:ascii="GHEA Grapalat" w:hAnsi="GHEA Grapalat" w:cs="Calibri"/>
          <w:b/>
          <w:noProof/>
          <w:szCs w:val="22"/>
          <w:lang w:val="af-ZA"/>
        </w:rPr>
        <w:t xml:space="preserve">, </w:t>
      </w:r>
      <w:r w:rsidRPr="005259C1">
        <w:rPr>
          <w:rFonts w:ascii="GHEA Grapalat" w:hAnsi="GHEA Grapalat" w:cs="GHEA Grapalat"/>
          <w:b/>
          <w:noProof/>
          <w:szCs w:val="22"/>
          <w:lang w:val="af-ZA"/>
        </w:rPr>
        <w:t>включительно</w:t>
      </w:r>
      <w:r w:rsidRPr="005259C1">
        <w:rPr>
          <w:rFonts w:ascii="GHEA Grapalat" w:hAnsi="GHEA Grapalat" w:cs="Calibri"/>
          <w:b/>
          <w:noProof/>
          <w:szCs w:val="22"/>
          <w:lang w:val="af-ZA"/>
        </w:rPr>
        <w:t>.</w:t>
      </w:r>
    </w:p>
    <w:p w14:paraId="3353194B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1) публикует в бюллетене распечатанные (сканированные) версии заявлений об отсутствии конфликта интересов, подписанные им и членами комиссии, присутствовавшими на вскрытии заявок.</w:t>
      </w:r>
    </w:p>
    <w:p w14:paraId="15FE2CFD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2) информирует в электронном виде участников, представивших предложения, оцененные как неудовлетворительные в соответствии с условиями, предусмотренными настоящим объявлением, об основаниях отклонения предложений, прошедших предварительную квалификацию.</w:t>
      </w:r>
    </w:p>
    <w:p w14:paraId="5310981C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7. Участники, прошедшие предварительную квалификацию, имеют право на дальнейшее участие в процедуре закупки.</w:t>
      </w:r>
    </w:p>
    <w:p w14:paraId="3EA85ED6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</w:p>
    <w:p w14:paraId="5C4B0A76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За дополнительной информацией по настоящему объявлению обращайтесь к секретарю комиссии Анне Акопян.</w:t>
      </w:r>
    </w:p>
    <w:p w14:paraId="45DD3F16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Тел.: +010 651631</w:t>
      </w:r>
    </w:p>
    <w:p w14:paraId="53CA1040" w14:textId="66D06D4A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 xml:space="preserve">Эл. почта: </w:t>
      </w:r>
      <w:hyperlink r:id="rId11" w:history="1">
        <w:r w:rsidR="005C68FC" w:rsidRPr="00360981">
          <w:rPr>
            <w:rStyle w:val="af0"/>
            <w:rFonts w:ascii="GHEA Grapalat" w:hAnsi="GHEA Grapalat" w:cs="Calibri"/>
            <w:b/>
            <w:noProof/>
            <w:szCs w:val="22"/>
          </w:rPr>
          <w:t>procurement</w:t>
        </w:r>
        <w:r w:rsidR="005C68FC" w:rsidRPr="00360981">
          <w:rPr>
            <w:rStyle w:val="af0"/>
            <w:rFonts w:ascii="GHEA Grapalat" w:hAnsi="GHEA Grapalat" w:cs="Calibri"/>
            <w:b/>
            <w:noProof/>
            <w:szCs w:val="22"/>
            <w:lang w:val="af-ZA"/>
          </w:rPr>
          <w:t>@epiu.am</w:t>
        </w:r>
      </w:hyperlink>
      <w:r w:rsidR="005C68FC">
        <w:rPr>
          <w:rFonts w:ascii="GHEA Grapalat" w:hAnsi="GHEA Grapalat" w:cs="Calibri"/>
          <w:b/>
          <w:noProof/>
          <w:szCs w:val="22"/>
          <w:lang w:val="af-ZA"/>
        </w:rPr>
        <w:t xml:space="preserve"> </w:t>
      </w:r>
    </w:p>
    <w:p w14:paraId="3B75A2B9" w14:textId="09DE3840" w:rsidR="00E925BE" w:rsidRPr="00CA0534" w:rsidRDefault="005259C1" w:rsidP="006E05A1">
      <w:pPr>
        <w:pStyle w:val="norm"/>
        <w:spacing w:line="240" w:lineRule="auto"/>
        <w:ind w:firstLine="284"/>
        <w:rPr>
          <w:rFonts w:ascii="GHEA Grapalat" w:hAnsi="GHEA Grapalat" w:cs="Calibri"/>
          <w:szCs w:val="22"/>
          <w:lang w:val="af-ZA" w:eastAsia="en-US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Заказчик: ООО «Подразделение по реализации экологических программ»</w:t>
      </w:r>
    </w:p>
    <w:p w14:paraId="2AF064BB" w14:textId="77777777" w:rsidR="00E925BE" w:rsidRPr="00CA0534" w:rsidRDefault="00E925BE" w:rsidP="006E05A1">
      <w:pPr>
        <w:pStyle w:val="norm"/>
        <w:spacing w:line="240" w:lineRule="auto"/>
        <w:ind w:firstLine="284"/>
        <w:rPr>
          <w:rFonts w:ascii="GHEA Grapalat" w:hAnsi="GHEA Grapalat" w:cs="Calibri"/>
          <w:szCs w:val="22"/>
          <w:lang w:val="af-ZA" w:eastAsia="en-US"/>
        </w:rPr>
      </w:pPr>
    </w:p>
    <w:p w14:paraId="63552562" w14:textId="77777777" w:rsidR="00E925BE" w:rsidRPr="00CA0534" w:rsidRDefault="00E925BE" w:rsidP="006E05A1">
      <w:pPr>
        <w:pStyle w:val="norm"/>
        <w:spacing w:line="240" w:lineRule="auto"/>
        <w:ind w:firstLine="284"/>
        <w:rPr>
          <w:rFonts w:ascii="GHEA Grapalat" w:hAnsi="GHEA Grapalat" w:cs="Calibri"/>
          <w:szCs w:val="22"/>
          <w:lang w:val="af-ZA" w:eastAsia="en-US"/>
        </w:rPr>
      </w:pPr>
    </w:p>
    <w:p w14:paraId="54881D6E" w14:textId="77777777" w:rsidR="00E925BE" w:rsidRPr="00CA0534" w:rsidRDefault="00E925BE" w:rsidP="006E05A1">
      <w:pPr>
        <w:pStyle w:val="norm"/>
        <w:spacing w:line="240" w:lineRule="auto"/>
        <w:ind w:firstLine="0"/>
        <w:rPr>
          <w:rFonts w:ascii="GHEA Grapalat" w:hAnsi="GHEA Grapalat" w:cs="Calibri"/>
          <w:szCs w:val="22"/>
          <w:lang w:val="af-ZA" w:eastAsia="en-US"/>
        </w:rPr>
      </w:pPr>
    </w:p>
    <w:p w14:paraId="04DDF655" w14:textId="77777777" w:rsidR="00E925BE" w:rsidRPr="00CA0534" w:rsidRDefault="00E925BE" w:rsidP="006E05A1">
      <w:pPr>
        <w:pStyle w:val="norm"/>
        <w:spacing w:line="240" w:lineRule="auto"/>
        <w:ind w:firstLine="284"/>
        <w:rPr>
          <w:rFonts w:ascii="GHEA Grapalat" w:hAnsi="GHEA Grapalat" w:cs="Calibri"/>
          <w:szCs w:val="22"/>
          <w:lang w:val="af-ZA" w:eastAsia="en-US"/>
        </w:rPr>
      </w:pPr>
    </w:p>
    <w:p w14:paraId="523FC789" w14:textId="77777777" w:rsidR="00E925BE" w:rsidRPr="00CA0534" w:rsidRDefault="00E925BE" w:rsidP="006E05A1">
      <w:pPr>
        <w:pStyle w:val="norm"/>
        <w:spacing w:line="240" w:lineRule="auto"/>
        <w:ind w:firstLine="284"/>
        <w:rPr>
          <w:rFonts w:ascii="GHEA Grapalat" w:hAnsi="GHEA Grapalat" w:cs="Calibri"/>
          <w:szCs w:val="22"/>
          <w:lang w:val="af-ZA" w:eastAsia="en-US"/>
        </w:rPr>
      </w:pPr>
    </w:p>
    <w:p w14:paraId="73D6B67F" w14:textId="77777777" w:rsidR="00E925BE" w:rsidRPr="00CA0534" w:rsidRDefault="00E925BE" w:rsidP="006E05A1">
      <w:pPr>
        <w:pStyle w:val="norm"/>
        <w:spacing w:line="240" w:lineRule="auto"/>
        <w:ind w:firstLine="284"/>
        <w:rPr>
          <w:rFonts w:ascii="GHEA Grapalat" w:hAnsi="GHEA Grapalat" w:cs="Calibri"/>
          <w:szCs w:val="22"/>
          <w:lang w:val="af-ZA" w:eastAsia="en-US"/>
        </w:rPr>
      </w:pPr>
    </w:p>
    <w:p w14:paraId="0F241D47" w14:textId="77777777" w:rsidR="00E925BE" w:rsidRPr="00CA0534" w:rsidRDefault="00E925BE" w:rsidP="006E05A1">
      <w:pPr>
        <w:jc w:val="both"/>
        <w:rPr>
          <w:rFonts w:ascii="GHEA Grapalat" w:hAnsi="GHEA Grapalat" w:cs="Calibri"/>
          <w:noProof w:val="0"/>
          <w:sz w:val="22"/>
          <w:szCs w:val="22"/>
          <w:lang w:val="af-ZA" w:eastAsia="en-US"/>
        </w:rPr>
        <w:sectPr w:rsidR="00E925BE" w:rsidRPr="00CA0534" w:rsidSect="00E925BE">
          <w:footerReference w:type="default" r:id="rId12"/>
          <w:pgSz w:w="11906" w:h="16838"/>
          <w:pgMar w:top="1008" w:right="926" w:bottom="630" w:left="1627" w:header="720" w:footer="144" w:gutter="0"/>
          <w:cols w:space="720"/>
        </w:sectPr>
      </w:pPr>
    </w:p>
    <w:p w14:paraId="671044E7" w14:textId="77777777" w:rsidR="00C5478D" w:rsidRPr="001C6C3C" w:rsidRDefault="00C5478D" w:rsidP="006E05A1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lastRenderedPageBreak/>
        <w:t>Приложение 1</w:t>
      </w:r>
    </w:p>
    <w:p w14:paraId="7630320C" w14:textId="77777777" w:rsidR="00C5478D" w:rsidRPr="001C6C3C" w:rsidRDefault="00C5478D" w:rsidP="006E05A1">
      <w:pPr>
        <w:pStyle w:val="31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31FCF849" w14:textId="7FA97701" w:rsidR="00C5478D" w:rsidRPr="005C68FC" w:rsidRDefault="00C5478D" w:rsidP="006E05A1">
      <w:pPr>
        <w:pStyle w:val="31"/>
        <w:jc w:val="right"/>
        <w:rPr>
          <w:rFonts w:ascii="GHEA Grapalat" w:hAnsi="GHEA Grapalat"/>
          <w:b/>
          <w:spacing w:val="-6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под кодом </w:t>
      </w:r>
      <w:r w:rsidRPr="0069583D">
        <w:rPr>
          <w:rFonts w:ascii="GHEA Grapalat" w:hAnsi="GHEA Grapalat"/>
          <w:b/>
          <w:i/>
          <w:sz w:val="22"/>
          <w:szCs w:val="22"/>
        </w:rPr>
        <w:t>HH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BC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A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</w:rPr>
        <w:t>BM</w:t>
      </w:r>
      <w:r w:rsidRPr="0069583D">
        <w:rPr>
          <w:rFonts w:ascii="GHEA Grapalat" w:hAnsi="GHEA Grapalat"/>
          <w:b/>
          <w:i/>
          <w:sz w:val="22"/>
          <w:szCs w:val="22"/>
        </w:rPr>
        <w:t>X</w:t>
      </w:r>
      <w:r w:rsidRPr="0069583D">
        <w:rPr>
          <w:rFonts w:ascii="GHEA Grapalat" w:hAnsi="GHEA Grapalat"/>
          <w:b/>
          <w:sz w:val="22"/>
          <w:szCs w:val="22"/>
        </w:rPr>
        <w:t>TsDzB-2</w:t>
      </w:r>
      <w:r w:rsidR="005A1661">
        <w:rPr>
          <w:rFonts w:ascii="GHEA Grapalat" w:hAnsi="GHEA Grapalat"/>
          <w:b/>
          <w:sz w:val="22"/>
          <w:szCs w:val="22"/>
          <w:lang w:val="ru-RU"/>
        </w:rPr>
        <w:t>6/3</w:t>
      </w:r>
      <w:r w:rsidR="005C68FC" w:rsidRPr="005C68FC">
        <w:rPr>
          <w:rFonts w:ascii="GHEA Grapalat" w:hAnsi="GHEA Grapalat"/>
          <w:b/>
          <w:sz w:val="22"/>
          <w:szCs w:val="22"/>
          <w:lang w:val="ru-RU"/>
        </w:rPr>
        <w:t>8</w:t>
      </w:r>
    </w:p>
    <w:p w14:paraId="50CDE129" w14:textId="77777777" w:rsidR="00C5478D" w:rsidRPr="001C6C3C" w:rsidRDefault="00C5478D" w:rsidP="006E05A1">
      <w:pPr>
        <w:pStyle w:val="31"/>
        <w:jc w:val="right"/>
        <w:rPr>
          <w:rFonts w:ascii="GHEA Grapalat" w:hAnsi="GHEA Grapalat" w:cs="Sylfaen"/>
          <w:b/>
          <w:sz w:val="22"/>
          <w:szCs w:val="22"/>
          <w:lang w:val="ru-RU"/>
        </w:rPr>
      </w:pPr>
    </w:p>
    <w:p w14:paraId="0543B72B" w14:textId="77777777" w:rsidR="00C5478D" w:rsidRPr="001C6C3C" w:rsidRDefault="00C5478D" w:rsidP="005C68FC">
      <w:pPr>
        <w:spacing w:after="160" w:line="360" w:lineRule="auto"/>
        <w:ind w:left="567" w:right="565"/>
        <w:jc w:val="center"/>
        <w:rPr>
          <w:rFonts w:ascii="GHEA Grapalat" w:hAnsi="GHEA Grapalat" w:cs="Arial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ЗАЯВЛЕНИЕ</w:t>
      </w:r>
    </w:p>
    <w:p w14:paraId="11D694DC" w14:textId="77777777" w:rsidR="00C5478D" w:rsidRPr="001C6C3C" w:rsidRDefault="00C5478D" w:rsidP="006E05A1">
      <w:pPr>
        <w:pStyle w:val="6"/>
        <w:keepNext w:val="0"/>
        <w:widowControl w:val="0"/>
        <w:spacing w:after="160" w:line="360" w:lineRule="auto"/>
        <w:ind w:left="567" w:right="567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на участие в процедуре предварительной квалификации  </w:t>
      </w:r>
    </w:p>
    <w:p w14:paraId="70198426" w14:textId="77777777" w:rsidR="00C5478D" w:rsidRPr="001C6C3C" w:rsidRDefault="00C5478D" w:rsidP="006E05A1">
      <w:pPr>
        <w:spacing w:line="360" w:lineRule="auto"/>
        <w:jc w:val="right"/>
        <w:rPr>
          <w:rFonts w:ascii="GHEA Grapalat" w:hAnsi="GHEA Grapalat"/>
          <w:sz w:val="22"/>
          <w:szCs w:val="22"/>
          <w:lang w:val="ru-RU"/>
        </w:rPr>
      </w:pPr>
    </w:p>
    <w:p w14:paraId="1DEFA9E8" w14:textId="77777777" w:rsidR="00C5478D" w:rsidRPr="001C6C3C" w:rsidRDefault="00C5478D" w:rsidP="006E05A1">
      <w:pPr>
        <w:spacing w:line="36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_______________________ заявляет, что желает участвовать в </w:t>
      </w:r>
    </w:p>
    <w:p w14:paraId="0E55E5C0" w14:textId="77777777" w:rsidR="00C5478D" w:rsidRPr="001C6C3C" w:rsidRDefault="00C5478D" w:rsidP="00C5478D">
      <w:pPr>
        <w:spacing w:after="160" w:line="360" w:lineRule="auto"/>
        <w:ind w:left="284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105BC0A2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2AF9BE13" w14:textId="013DCE78" w:rsidR="00C5478D" w:rsidRPr="001C6C3C" w:rsidRDefault="00C5478D" w:rsidP="00C5478D">
      <w:pPr>
        <w:pStyle w:val="31"/>
        <w:rPr>
          <w:rFonts w:ascii="GHEA Grapalat" w:hAnsi="GHEA Grapalat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процедуре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предварительной квалификации 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под кодом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br/>
      </w:r>
      <w:r w:rsidRPr="0069583D">
        <w:rPr>
          <w:rFonts w:ascii="GHEA Grapalat" w:hAnsi="GHEA Grapalat"/>
          <w:b/>
          <w:i/>
          <w:sz w:val="22"/>
          <w:szCs w:val="22"/>
        </w:rPr>
        <w:t>HH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BC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A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</w:rPr>
        <w:t>BM</w:t>
      </w:r>
      <w:r w:rsidRPr="0069583D">
        <w:rPr>
          <w:rFonts w:ascii="GHEA Grapalat" w:hAnsi="GHEA Grapalat"/>
          <w:b/>
          <w:i/>
          <w:sz w:val="22"/>
          <w:szCs w:val="22"/>
        </w:rPr>
        <w:t>X</w:t>
      </w:r>
      <w:r w:rsidRPr="0069583D">
        <w:rPr>
          <w:rFonts w:ascii="GHEA Grapalat" w:hAnsi="GHEA Grapalat"/>
          <w:b/>
          <w:sz w:val="22"/>
          <w:szCs w:val="22"/>
        </w:rPr>
        <w:t>TsDzB-2</w:t>
      </w:r>
      <w:r w:rsidR="005A1661">
        <w:rPr>
          <w:rFonts w:ascii="GHEA Grapalat" w:hAnsi="GHEA Grapalat"/>
          <w:b/>
          <w:sz w:val="22"/>
          <w:szCs w:val="22"/>
          <w:lang w:val="ru-RU"/>
        </w:rPr>
        <w:t>6/3</w:t>
      </w:r>
      <w:r w:rsidR="005C68FC" w:rsidRPr="005C68FC">
        <w:rPr>
          <w:rFonts w:ascii="GHEA Grapalat" w:hAnsi="GHEA Grapalat"/>
          <w:b/>
          <w:sz w:val="22"/>
          <w:szCs w:val="22"/>
          <w:lang w:val="ru-RU"/>
        </w:rPr>
        <w:t>8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заказчика _________________________________________</w:t>
      </w:r>
    </w:p>
    <w:p w14:paraId="49FDB3B9" w14:textId="77777777" w:rsidR="00C5478D" w:rsidRPr="001C6C3C" w:rsidRDefault="00C5478D" w:rsidP="00C5478D">
      <w:pPr>
        <w:spacing w:after="160" w:line="360" w:lineRule="auto"/>
        <w:ind w:left="6237"/>
        <w:jc w:val="both"/>
        <w:rPr>
          <w:rFonts w:ascii="GHEA Grapalat" w:hAnsi="GHEA Grapalat" w:cs="Sylfaen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</w:t>
      </w:r>
      <w:r w:rsidRPr="001C6C3C">
        <w:rPr>
          <w:rFonts w:ascii="GHEA Grapalat" w:hAnsi="GHEA Grapalat"/>
          <w:sz w:val="22"/>
          <w:szCs w:val="22"/>
          <w:vertAlign w:val="superscript"/>
          <w:lang w:val="ru-RU"/>
        </w:rPr>
        <w:t xml:space="preserve"> </w:t>
      </w:r>
      <w:r w:rsidRPr="001C6C3C">
        <w:rPr>
          <w:rFonts w:ascii="GHEA Grapalat" w:hAnsi="GHEA Grapalat"/>
          <w:sz w:val="22"/>
          <w:szCs w:val="22"/>
          <w:lang w:val="ru-RU"/>
        </w:rPr>
        <w:t>заказчика</w:t>
      </w:r>
    </w:p>
    <w:p w14:paraId="24E48B5D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и подает заявку в соответствии с требованиями объявления о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предварительной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квалификации.</w:t>
      </w:r>
    </w:p>
    <w:p w14:paraId="6EC32960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</w:p>
    <w:p w14:paraId="501749BA" w14:textId="77777777" w:rsidR="00C5478D" w:rsidRPr="001C6C3C" w:rsidRDefault="00C5478D" w:rsidP="00C5478D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Учетный номер налогоплательщика ___________________: __________________</w:t>
      </w:r>
    </w:p>
    <w:p w14:paraId="2874362B" w14:textId="77777777" w:rsidR="00C5478D" w:rsidRPr="001C6C3C" w:rsidRDefault="00C5478D" w:rsidP="00C5478D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1C6C3C">
        <w:rPr>
          <w:rFonts w:ascii="GHEA Grapalat" w:hAnsi="GHEA Grapalat"/>
          <w:sz w:val="22"/>
          <w:szCs w:val="22"/>
          <w:lang w:val="ru-RU"/>
        </w:rPr>
        <w:tab/>
      </w:r>
      <w:r w:rsidRPr="001C6C3C">
        <w:rPr>
          <w:rFonts w:ascii="GHEA Grapalat" w:hAnsi="GHEA Grapalat"/>
          <w:sz w:val="22"/>
          <w:szCs w:val="22"/>
          <w:lang w:val="ru-RU"/>
        </w:rPr>
        <w:tab/>
      </w:r>
    </w:p>
    <w:p w14:paraId="0D4EE20C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Адрес электронной почты ___________________: __________________</w:t>
      </w:r>
    </w:p>
    <w:p w14:paraId="26429258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адрес электронной почты</w:t>
      </w:r>
    </w:p>
    <w:p w14:paraId="62F50558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6CDAF6D4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Телефон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___________________: __________________</w:t>
      </w:r>
    </w:p>
    <w:p w14:paraId="273C1881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телефон</w:t>
      </w:r>
    </w:p>
    <w:p w14:paraId="4784DF82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4F7F657A" w14:textId="77777777" w:rsidR="00C5478D" w:rsidRPr="001C6C3C" w:rsidRDefault="00C5478D" w:rsidP="00C5478D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__________________________________________________               ______________</w:t>
      </w:r>
    </w:p>
    <w:p w14:paraId="6564DEB2" w14:textId="77777777" w:rsidR="00C5478D" w:rsidRPr="001C6C3C" w:rsidRDefault="00C5478D" w:rsidP="00C5478D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 (должность, имя, фамилия 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подпись</w:t>
      </w:r>
    </w:p>
    <w:p w14:paraId="69C049A6" w14:textId="77777777" w:rsidR="00C5478D" w:rsidRPr="001C6C3C" w:rsidRDefault="00C5478D" w:rsidP="00C5478D">
      <w:pPr>
        <w:spacing w:after="160" w:line="360" w:lineRule="auto"/>
        <w:jc w:val="both"/>
        <w:rPr>
          <w:rFonts w:ascii="GHEA Grapalat" w:hAnsi="GHEA Grapalat" w:cs="Arial"/>
          <w:sz w:val="22"/>
          <w:szCs w:val="22"/>
          <w:vertAlign w:val="superscript"/>
          <w:lang w:val="ru-RU"/>
        </w:rPr>
      </w:pPr>
    </w:p>
    <w:p w14:paraId="10D6503B" w14:textId="77777777" w:rsidR="00C5478D" w:rsidRPr="001C6C3C" w:rsidRDefault="00C5478D" w:rsidP="00C5478D">
      <w:pPr>
        <w:spacing w:after="160" w:line="360" w:lineRule="auto"/>
        <w:jc w:val="right"/>
        <w:rPr>
          <w:rFonts w:ascii="GHEA Grapalat" w:hAnsi="GHEA Grapalat" w:cs="Arial"/>
          <w:sz w:val="22"/>
          <w:szCs w:val="22"/>
          <w:lang w:val="ru-RU"/>
        </w:rPr>
        <w:sectPr w:rsidR="00C5478D" w:rsidRPr="001C6C3C" w:rsidSect="000A10B4">
          <w:footnotePr>
            <w:pos w:val="beneathText"/>
          </w:footnotePr>
          <w:pgSz w:w="11906" w:h="16838" w:code="9"/>
          <w:pgMar w:top="450" w:right="720" w:bottom="360" w:left="720" w:header="562" w:footer="562" w:gutter="0"/>
          <w:cols w:space="720"/>
          <w:docGrid w:linePitch="326"/>
        </w:sect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</w:t>
      </w:r>
    </w:p>
    <w:p w14:paraId="08D0A2A1" w14:textId="77777777" w:rsidR="00C5478D" w:rsidRPr="001C6C3C" w:rsidRDefault="00C5478D" w:rsidP="00C5478D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lastRenderedPageBreak/>
        <w:t>Приложение 2</w:t>
      </w:r>
    </w:p>
    <w:p w14:paraId="46FBC0FF" w14:textId="77777777" w:rsidR="00C5478D" w:rsidRPr="001C6C3C" w:rsidRDefault="00C5478D" w:rsidP="00C5478D">
      <w:pPr>
        <w:pStyle w:val="31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4327CD8E" w14:textId="4EC0813D" w:rsidR="00C5478D" w:rsidRPr="005C68FC" w:rsidRDefault="00C5478D" w:rsidP="00C5478D">
      <w:pPr>
        <w:pStyle w:val="31"/>
        <w:jc w:val="right"/>
        <w:rPr>
          <w:rFonts w:ascii="GHEA Grapalat" w:hAnsi="GHEA Grapalat"/>
          <w:b/>
          <w:spacing w:val="-6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под кодом </w:t>
      </w:r>
      <w:r w:rsidRPr="0069583D">
        <w:rPr>
          <w:rFonts w:ascii="GHEA Grapalat" w:hAnsi="GHEA Grapalat"/>
          <w:b/>
          <w:i/>
          <w:sz w:val="22"/>
          <w:szCs w:val="22"/>
        </w:rPr>
        <w:t>HH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BC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A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</w:rPr>
        <w:t>BM</w:t>
      </w:r>
      <w:r w:rsidRPr="0069583D">
        <w:rPr>
          <w:rFonts w:ascii="GHEA Grapalat" w:hAnsi="GHEA Grapalat"/>
          <w:b/>
          <w:i/>
          <w:sz w:val="22"/>
          <w:szCs w:val="22"/>
        </w:rPr>
        <w:t>X</w:t>
      </w:r>
      <w:r w:rsidRPr="0069583D">
        <w:rPr>
          <w:rFonts w:ascii="GHEA Grapalat" w:hAnsi="GHEA Grapalat"/>
          <w:b/>
          <w:sz w:val="22"/>
          <w:szCs w:val="22"/>
        </w:rPr>
        <w:t>TsDzB-2</w:t>
      </w:r>
      <w:r w:rsidR="005A1661">
        <w:rPr>
          <w:rFonts w:ascii="GHEA Grapalat" w:hAnsi="GHEA Grapalat"/>
          <w:b/>
          <w:sz w:val="22"/>
          <w:szCs w:val="22"/>
          <w:lang w:val="ru-RU"/>
        </w:rPr>
        <w:t>6/3</w:t>
      </w:r>
      <w:r w:rsidR="005C68FC" w:rsidRPr="005C68FC">
        <w:rPr>
          <w:rFonts w:ascii="GHEA Grapalat" w:hAnsi="GHEA Grapalat"/>
          <w:b/>
          <w:sz w:val="22"/>
          <w:szCs w:val="22"/>
          <w:lang w:val="ru-RU"/>
        </w:rPr>
        <w:t>8</w:t>
      </w:r>
    </w:p>
    <w:p w14:paraId="69058F09" w14:textId="77777777" w:rsidR="00C5478D" w:rsidRPr="001C6C3C" w:rsidRDefault="00C5478D" w:rsidP="00C5478D">
      <w:pPr>
        <w:pStyle w:val="31"/>
        <w:spacing w:after="160" w:line="480" w:lineRule="auto"/>
        <w:jc w:val="right"/>
        <w:rPr>
          <w:rFonts w:ascii="GHEA Grapalat" w:hAnsi="GHEA Grapalat" w:cs="Arial"/>
          <w:sz w:val="22"/>
          <w:szCs w:val="22"/>
          <w:lang w:val="ru-RU"/>
        </w:rPr>
      </w:pPr>
    </w:p>
    <w:p w14:paraId="154D2CEE" w14:textId="77777777" w:rsidR="00C5478D" w:rsidRPr="001C6C3C" w:rsidRDefault="00C5478D" w:rsidP="00C5478D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4CC16613" w14:textId="77777777" w:rsidR="00C5478D" w:rsidRPr="001C6C3C" w:rsidRDefault="00C5478D" w:rsidP="00C5478D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о соответствии квалификационному критерию "Опыт организации''</w:t>
      </w:r>
    </w:p>
    <w:p w14:paraId="3275C8E9" w14:textId="77777777" w:rsidR="00C5478D" w:rsidRPr="001C6C3C" w:rsidRDefault="00C5478D" w:rsidP="00C5478D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___________________объявляет и заверяет, что предоставлял нижеуказанные услуги:</w:t>
      </w:r>
    </w:p>
    <w:p w14:paraId="6BA95C99" w14:textId="77777777" w:rsidR="00C5478D" w:rsidRPr="001C6C3C" w:rsidRDefault="00C5478D" w:rsidP="00C5478D">
      <w:pPr>
        <w:spacing w:after="160" w:line="360" w:lineRule="auto"/>
        <w:ind w:left="709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5B523E22" w14:textId="77777777" w:rsidR="00C5478D" w:rsidRPr="001C6C3C" w:rsidRDefault="00C5478D" w:rsidP="00C5478D">
      <w:pPr>
        <w:spacing w:after="160" w:line="360" w:lineRule="auto"/>
        <w:jc w:val="both"/>
        <w:rPr>
          <w:rFonts w:ascii="GHEA Grapalat" w:hAnsi="GHEA Grapalat" w:cs="Sylfaen"/>
          <w:sz w:val="22"/>
          <w:szCs w:val="22"/>
          <w:lang w:val="ru-RU"/>
        </w:rPr>
      </w:pP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797"/>
        <w:gridCol w:w="1708"/>
        <w:gridCol w:w="1272"/>
        <w:gridCol w:w="2328"/>
        <w:gridCol w:w="2880"/>
      </w:tblGrid>
      <w:tr w:rsidR="00C5478D" w:rsidRPr="001C6C3C" w14:paraId="4C448EC7" w14:textId="77777777" w:rsidTr="006B786F">
        <w:tc>
          <w:tcPr>
            <w:tcW w:w="9543" w:type="dxa"/>
            <w:gridSpan w:val="6"/>
            <w:vAlign w:val="center"/>
          </w:tcPr>
          <w:p w14:paraId="7D26958F" w14:textId="77777777" w:rsidR="00C5478D" w:rsidRPr="001C6C3C" w:rsidRDefault="00C5478D" w:rsidP="006B786F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C5478D" w:rsidRPr="005C70A0" w14:paraId="24174EFE" w14:textId="77777777" w:rsidTr="006B786F">
        <w:tc>
          <w:tcPr>
            <w:tcW w:w="558" w:type="dxa"/>
          </w:tcPr>
          <w:p w14:paraId="7D263DA2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797" w:type="dxa"/>
          </w:tcPr>
          <w:p w14:paraId="3F176BC9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 xml:space="preserve">Год </w:t>
            </w:r>
          </w:p>
        </w:tc>
        <w:tc>
          <w:tcPr>
            <w:tcW w:w="1708" w:type="dxa"/>
          </w:tcPr>
          <w:p w14:paraId="008EC249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Номер </w:t>
            </w:r>
          </w:p>
        </w:tc>
        <w:tc>
          <w:tcPr>
            <w:tcW w:w="1272" w:type="dxa"/>
          </w:tcPr>
          <w:p w14:paraId="7FC009D6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Сумма</w:t>
            </w:r>
          </w:p>
        </w:tc>
        <w:tc>
          <w:tcPr>
            <w:tcW w:w="2328" w:type="dxa"/>
          </w:tcPr>
          <w:p w14:paraId="0546541A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Наименоване /описание</w:t>
            </w:r>
          </w:p>
        </w:tc>
        <w:tc>
          <w:tcPr>
            <w:tcW w:w="2880" w:type="dxa"/>
          </w:tcPr>
          <w:p w14:paraId="7615241C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>Данные о заказчике и его контактные данные; наименование, почта, номер телефона</w:t>
            </w:r>
          </w:p>
        </w:tc>
      </w:tr>
      <w:tr w:rsidR="00C5478D" w:rsidRPr="001C6C3C" w14:paraId="3CC7A19E" w14:textId="77777777" w:rsidTr="006B786F">
        <w:tc>
          <w:tcPr>
            <w:tcW w:w="558" w:type="dxa"/>
          </w:tcPr>
          <w:p w14:paraId="2D3E33D3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14:paraId="4656FF6B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12917694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717EC2E9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270858DC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0645BF46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C5478D" w:rsidRPr="001C6C3C" w14:paraId="312B643D" w14:textId="77777777" w:rsidTr="006B786F">
        <w:tc>
          <w:tcPr>
            <w:tcW w:w="558" w:type="dxa"/>
          </w:tcPr>
          <w:p w14:paraId="51900549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797" w:type="dxa"/>
          </w:tcPr>
          <w:p w14:paraId="1D27A806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1565B43E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79C05BA1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638816AA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76DA563D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C5478D" w:rsidRPr="001C6C3C" w14:paraId="1F748F35" w14:textId="77777777" w:rsidTr="006B786F">
        <w:tc>
          <w:tcPr>
            <w:tcW w:w="558" w:type="dxa"/>
          </w:tcPr>
          <w:p w14:paraId="68B13839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...</w:t>
            </w:r>
          </w:p>
        </w:tc>
        <w:tc>
          <w:tcPr>
            <w:tcW w:w="797" w:type="dxa"/>
          </w:tcPr>
          <w:p w14:paraId="71C6C828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71F9A47C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11280FED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48F7B9B5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629C40F3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14:paraId="55A6B16E" w14:textId="77777777" w:rsidR="00C5478D" w:rsidRPr="001C6C3C" w:rsidRDefault="00C5478D" w:rsidP="00C5478D">
      <w:pPr>
        <w:spacing w:after="160"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14:paraId="76F1A63E" w14:textId="6AB88E4E" w:rsidR="00C5478D" w:rsidRPr="001C6C3C" w:rsidRDefault="00C5478D" w:rsidP="00C5478D">
      <w:pPr>
        <w:pStyle w:val="31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Настоящим ___________________ объявляет и заверяет, что удовлетворяет квалификационным критериям опыта организации, установленным заявлением о предварительной квалификации под кодом </w:t>
      </w:r>
      <w:r w:rsidRPr="0069583D">
        <w:rPr>
          <w:rFonts w:ascii="GHEA Grapalat" w:hAnsi="GHEA Grapalat"/>
          <w:b/>
          <w:i/>
          <w:sz w:val="22"/>
          <w:szCs w:val="22"/>
        </w:rPr>
        <w:t>HH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BC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A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</w:rPr>
        <w:t>BM</w:t>
      </w:r>
      <w:r w:rsidRPr="0069583D">
        <w:rPr>
          <w:rFonts w:ascii="GHEA Grapalat" w:hAnsi="GHEA Grapalat"/>
          <w:b/>
          <w:i/>
          <w:sz w:val="22"/>
          <w:szCs w:val="22"/>
        </w:rPr>
        <w:t>X</w:t>
      </w:r>
      <w:r w:rsidRPr="0069583D">
        <w:rPr>
          <w:rFonts w:ascii="GHEA Grapalat" w:hAnsi="GHEA Grapalat"/>
          <w:b/>
          <w:sz w:val="22"/>
          <w:szCs w:val="22"/>
        </w:rPr>
        <w:t>TsDzB-2</w:t>
      </w:r>
      <w:r w:rsidR="005A1661">
        <w:rPr>
          <w:rFonts w:ascii="GHEA Grapalat" w:hAnsi="GHEA Grapalat"/>
          <w:b/>
          <w:sz w:val="22"/>
          <w:szCs w:val="22"/>
          <w:lang w:val="ru-RU"/>
        </w:rPr>
        <w:t>6/3</w:t>
      </w:r>
      <w:bookmarkStart w:id="0" w:name="_GoBack"/>
      <w:bookmarkEnd w:id="0"/>
      <w:r w:rsidR="005C68FC" w:rsidRPr="005C68FC">
        <w:rPr>
          <w:rFonts w:ascii="GHEA Grapalat" w:hAnsi="GHEA Grapalat"/>
          <w:b/>
          <w:sz w:val="22"/>
          <w:szCs w:val="22"/>
          <w:lang w:val="ru-RU"/>
        </w:rPr>
        <w:t>8</w:t>
      </w:r>
      <w:r w:rsidRPr="0069583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 w:cs="Sylfaen"/>
          <w:sz w:val="22"/>
          <w:szCs w:val="22"/>
          <w:lang w:val="ru-RU"/>
        </w:rPr>
        <w:t>и готов в случае требования в установленный срок представить обосновывающие документы.</w:t>
      </w:r>
    </w:p>
    <w:p w14:paraId="2F839E32" w14:textId="77777777" w:rsidR="00C5478D" w:rsidRPr="001C6C3C" w:rsidRDefault="00C5478D" w:rsidP="00C5478D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_______________________________________________                     </w:t>
      </w:r>
      <w:r>
        <w:rPr>
          <w:rFonts w:ascii="GHEA Grapalat" w:hAnsi="GHEA Grapalat"/>
          <w:sz w:val="22"/>
          <w:szCs w:val="22"/>
        </w:rPr>
        <w:t xml:space="preserve">              </w:t>
      </w:r>
      <w:r w:rsidRPr="001C6C3C">
        <w:rPr>
          <w:rFonts w:ascii="GHEA Grapalat" w:hAnsi="GHEA Grapalat"/>
          <w:sz w:val="22"/>
          <w:szCs w:val="22"/>
          <w:lang w:val="ru-RU"/>
        </w:rPr>
        <w:t>____________</w:t>
      </w:r>
    </w:p>
    <w:p w14:paraId="6758BFCD" w14:textId="77777777" w:rsidR="00C5478D" w:rsidRPr="001C6C3C" w:rsidRDefault="00C5478D" w:rsidP="00C5478D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 (должность, имя, фамилия 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подпись</w:t>
      </w:r>
    </w:p>
    <w:p w14:paraId="52C2FAEE" w14:textId="77777777" w:rsidR="00C5478D" w:rsidRPr="001C6C3C" w:rsidRDefault="00C5478D" w:rsidP="00C5478D">
      <w:pPr>
        <w:spacing w:after="160" w:line="36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</w:p>
    <w:p w14:paraId="1D21660A" w14:textId="77777777" w:rsidR="00C5478D" w:rsidRPr="001C6C3C" w:rsidRDefault="00C5478D" w:rsidP="00C5478D">
      <w:pPr>
        <w:pStyle w:val="norm"/>
        <w:spacing w:line="240" w:lineRule="auto"/>
        <w:ind w:firstLine="0"/>
        <w:rPr>
          <w:rFonts w:ascii="GHEA Grapalat" w:hAnsi="GHEA Grapalat" w:cs="Arial"/>
          <w:szCs w:val="22"/>
          <w:lang w:val="ru-RU"/>
        </w:rPr>
      </w:pPr>
    </w:p>
    <w:p w14:paraId="389BED3F" w14:textId="77777777" w:rsidR="00133660" w:rsidRPr="00CA0534" w:rsidRDefault="00133660" w:rsidP="00C5478D">
      <w:pPr>
        <w:jc w:val="right"/>
        <w:rPr>
          <w:rFonts w:ascii="GHEA Grapalat" w:hAnsi="GHEA Grapalat" w:cs="Calibri"/>
          <w:sz w:val="22"/>
          <w:szCs w:val="22"/>
        </w:rPr>
      </w:pPr>
    </w:p>
    <w:sectPr w:rsidR="00133660" w:rsidRPr="00CA0534" w:rsidSect="00275703">
      <w:footerReference w:type="default" r:id="rId13"/>
      <w:footnotePr>
        <w:pos w:val="beneathText"/>
      </w:footnotePr>
      <w:pgSz w:w="11906" w:h="16838" w:code="9"/>
      <w:pgMar w:top="533" w:right="720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834F5" w14:textId="77777777" w:rsidR="00744BBA" w:rsidRDefault="00744BBA" w:rsidP="00F055BD">
      <w:r>
        <w:separator/>
      </w:r>
    </w:p>
  </w:endnote>
  <w:endnote w:type="continuationSeparator" w:id="0">
    <w:p w14:paraId="7C99EB87" w14:textId="77777777" w:rsidR="00744BBA" w:rsidRDefault="00744BBA" w:rsidP="00F0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D200FDFF" w:usb2="0A04602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7711355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9EFE08" w14:textId="77777777" w:rsidR="004D0FE4" w:rsidRDefault="004D0FE4">
        <w:pPr>
          <w:pStyle w:val="af8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5A1661">
          <w:t>1</w:t>
        </w:r>
        <w:r>
          <w:fldChar w:fldCharType="end"/>
        </w:r>
      </w:p>
    </w:sdtContent>
  </w:sdt>
  <w:p w14:paraId="0F8438E6" w14:textId="77777777" w:rsidR="004D0FE4" w:rsidRDefault="004D0FE4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0698136"/>
      <w:docPartObj>
        <w:docPartGallery w:val="Page Numbers (Bottom of Page)"/>
        <w:docPartUnique/>
      </w:docPartObj>
    </w:sdtPr>
    <w:sdtEndPr/>
    <w:sdtContent>
      <w:p w14:paraId="69FACB80" w14:textId="77777777" w:rsidR="004D0FE4" w:rsidRDefault="004D0FE4">
        <w:pPr>
          <w:pStyle w:val="af8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5A1661">
          <w:t>12</w:t>
        </w:r>
        <w:r>
          <w:fldChar w:fldCharType="end"/>
        </w:r>
      </w:p>
    </w:sdtContent>
  </w:sdt>
  <w:p w14:paraId="555DD931" w14:textId="77777777" w:rsidR="004D0FE4" w:rsidRDefault="004D0FE4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43E7D" w14:textId="77777777" w:rsidR="00297409" w:rsidRPr="002A1400" w:rsidRDefault="00744BBA" w:rsidP="00275703">
    <w:pPr>
      <w:pStyle w:val="af8"/>
      <w:jc w:val="cen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E0DB8" w14:textId="77777777" w:rsidR="00744BBA" w:rsidRDefault="00744BBA" w:rsidP="00F055BD">
      <w:r>
        <w:separator/>
      </w:r>
    </w:p>
  </w:footnote>
  <w:footnote w:type="continuationSeparator" w:id="0">
    <w:p w14:paraId="7B047924" w14:textId="77777777" w:rsidR="00744BBA" w:rsidRDefault="00744BBA" w:rsidP="00F05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80CBD"/>
    <w:multiLevelType w:val="hybridMultilevel"/>
    <w:tmpl w:val="E06654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F2CDB"/>
    <w:multiLevelType w:val="hybridMultilevel"/>
    <w:tmpl w:val="155A6E7E"/>
    <w:lvl w:ilvl="0" w:tplc="669CDA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53F45"/>
    <w:multiLevelType w:val="hybridMultilevel"/>
    <w:tmpl w:val="1220AE4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F40D92"/>
    <w:multiLevelType w:val="hybridMultilevel"/>
    <w:tmpl w:val="A9BC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E41B28"/>
    <w:multiLevelType w:val="multilevel"/>
    <w:tmpl w:val="1D9A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F4763A"/>
    <w:multiLevelType w:val="hybridMultilevel"/>
    <w:tmpl w:val="D1B21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001BF4"/>
    <w:multiLevelType w:val="hybridMultilevel"/>
    <w:tmpl w:val="4AA85D94"/>
    <w:lvl w:ilvl="0" w:tplc="821CF346">
      <w:start w:val="1"/>
      <w:numFmt w:val="decimal"/>
      <w:pStyle w:val="Para"/>
      <w:lvlText w:val="%1.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1B22F6"/>
    <w:multiLevelType w:val="multilevel"/>
    <w:tmpl w:val="CF42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B078A"/>
    <w:multiLevelType w:val="hybridMultilevel"/>
    <w:tmpl w:val="C3E010E8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0658F"/>
    <w:multiLevelType w:val="multilevel"/>
    <w:tmpl w:val="CDE8D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2B5A9C"/>
    <w:multiLevelType w:val="hybridMultilevel"/>
    <w:tmpl w:val="A68A9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10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9A"/>
    <w:rsid w:val="00001831"/>
    <w:rsid w:val="00001D1F"/>
    <w:rsid w:val="00002718"/>
    <w:rsid w:val="00005A94"/>
    <w:rsid w:val="000146B0"/>
    <w:rsid w:val="000157D4"/>
    <w:rsid w:val="0002274B"/>
    <w:rsid w:val="000236B9"/>
    <w:rsid w:val="00023BDE"/>
    <w:rsid w:val="00026963"/>
    <w:rsid w:val="0003193D"/>
    <w:rsid w:val="00043991"/>
    <w:rsid w:val="00044119"/>
    <w:rsid w:val="00047F1D"/>
    <w:rsid w:val="000540DE"/>
    <w:rsid w:val="0005717D"/>
    <w:rsid w:val="00061B3A"/>
    <w:rsid w:val="00061F63"/>
    <w:rsid w:val="00063871"/>
    <w:rsid w:val="00065325"/>
    <w:rsid w:val="00066E4A"/>
    <w:rsid w:val="00087E3E"/>
    <w:rsid w:val="00091EF6"/>
    <w:rsid w:val="0009294B"/>
    <w:rsid w:val="000B248B"/>
    <w:rsid w:val="000B2D38"/>
    <w:rsid w:val="000B56D3"/>
    <w:rsid w:val="000C2E3D"/>
    <w:rsid w:val="000C3737"/>
    <w:rsid w:val="000C46C3"/>
    <w:rsid w:val="000C4C7B"/>
    <w:rsid w:val="000D061F"/>
    <w:rsid w:val="000D1508"/>
    <w:rsid w:val="000D2260"/>
    <w:rsid w:val="000E3873"/>
    <w:rsid w:val="000E3BCC"/>
    <w:rsid w:val="000E6882"/>
    <w:rsid w:val="000F122D"/>
    <w:rsid w:val="000F210B"/>
    <w:rsid w:val="000F394E"/>
    <w:rsid w:val="000F789C"/>
    <w:rsid w:val="00100FDF"/>
    <w:rsid w:val="00102540"/>
    <w:rsid w:val="00104A01"/>
    <w:rsid w:val="00122094"/>
    <w:rsid w:val="00133660"/>
    <w:rsid w:val="00134295"/>
    <w:rsid w:val="0013663F"/>
    <w:rsid w:val="00137F62"/>
    <w:rsid w:val="00144495"/>
    <w:rsid w:val="0014774C"/>
    <w:rsid w:val="001516B0"/>
    <w:rsid w:val="001522BD"/>
    <w:rsid w:val="00156FA7"/>
    <w:rsid w:val="00162076"/>
    <w:rsid w:val="0016225F"/>
    <w:rsid w:val="001633C9"/>
    <w:rsid w:val="0016555B"/>
    <w:rsid w:val="00166FD9"/>
    <w:rsid w:val="001778D1"/>
    <w:rsid w:val="001923B3"/>
    <w:rsid w:val="00196A59"/>
    <w:rsid w:val="001A0C50"/>
    <w:rsid w:val="001A277D"/>
    <w:rsid w:val="001A5AF6"/>
    <w:rsid w:val="001B2424"/>
    <w:rsid w:val="001C4A90"/>
    <w:rsid w:val="001C5570"/>
    <w:rsid w:val="001D068B"/>
    <w:rsid w:val="001D5881"/>
    <w:rsid w:val="001E551A"/>
    <w:rsid w:val="001F1E7C"/>
    <w:rsid w:val="001F2088"/>
    <w:rsid w:val="001F48E2"/>
    <w:rsid w:val="001F5553"/>
    <w:rsid w:val="00201600"/>
    <w:rsid w:val="00223F35"/>
    <w:rsid w:val="00233D04"/>
    <w:rsid w:val="00240BAD"/>
    <w:rsid w:val="00241744"/>
    <w:rsid w:val="0024460A"/>
    <w:rsid w:val="002453AD"/>
    <w:rsid w:val="00246F30"/>
    <w:rsid w:val="00255709"/>
    <w:rsid w:val="00266F5D"/>
    <w:rsid w:val="0027665C"/>
    <w:rsid w:val="00276D86"/>
    <w:rsid w:val="00294432"/>
    <w:rsid w:val="00295B5A"/>
    <w:rsid w:val="002A4E80"/>
    <w:rsid w:val="002B7DB5"/>
    <w:rsid w:val="002C2477"/>
    <w:rsid w:val="002C34B3"/>
    <w:rsid w:val="002C5CE8"/>
    <w:rsid w:val="002C5DB6"/>
    <w:rsid w:val="002C67E4"/>
    <w:rsid w:val="002E4A2E"/>
    <w:rsid w:val="002E6538"/>
    <w:rsid w:val="002F17C8"/>
    <w:rsid w:val="002F2AFA"/>
    <w:rsid w:val="00303C22"/>
    <w:rsid w:val="00306987"/>
    <w:rsid w:val="00311C3D"/>
    <w:rsid w:val="00312770"/>
    <w:rsid w:val="00316766"/>
    <w:rsid w:val="00324EFD"/>
    <w:rsid w:val="00325043"/>
    <w:rsid w:val="00334D56"/>
    <w:rsid w:val="0034057D"/>
    <w:rsid w:val="00342CEF"/>
    <w:rsid w:val="0035121E"/>
    <w:rsid w:val="003524BC"/>
    <w:rsid w:val="00353ED6"/>
    <w:rsid w:val="00357DC8"/>
    <w:rsid w:val="00360117"/>
    <w:rsid w:val="003615A1"/>
    <w:rsid w:val="003627ED"/>
    <w:rsid w:val="00363462"/>
    <w:rsid w:val="00364EC1"/>
    <w:rsid w:val="00367247"/>
    <w:rsid w:val="003708E0"/>
    <w:rsid w:val="003749B9"/>
    <w:rsid w:val="00385555"/>
    <w:rsid w:val="003865BA"/>
    <w:rsid w:val="00386C67"/>
    <w:rsid w:val="003B2DCE"/>
    <w:rsid w:val="003B3EA5"/>
    <w:rsid w:val="003C5E85"/>
    <w:rsid w:val="003D67A9"/>
    <w:rsid w:val="003D7224"/>
    <w:rsid w:val="003E31E4"/>
    <w:rsid w:val="003E522F"/>
    <w:rsid w:val="003F77D3"/>
    <w:rsid w:val="00401255"/>
    <w:rsid w:val="00401C05"/>
    <w:rsid w:val="004034D1"/>
    <w:rsid w:val="00405A09"/>
    <w:rsid w:val="004063E9"/>
    <w:rsid w:val="0042157C"/>
    <w:rsid w:val="00421937"/>
    <w:rsid w:val="0042220F"/>
    <w:rsid w:val="00431F84"/>
    <w:rsid w:val="0043549E"/>
    <w:rsid w:val="0043552A"/>
    <w:rsid w:val="00437223"/>
    <w:rsid w:val="00437326"/>
    <w:rsid w:val="00437D97"/>
    <w:rsid w:val="00441B90"/>
    <w:rsid w:val="00454261"/>
    <w:rsid w:val="004604DB"/>
    <w:rsid w:val="0046162A"/>
    <w:rsid w:val="004674B5"/>
    <w:rsid w:val="00470D24"/>
    <w:rsid w:val="0047110D"/>
    <w:rsid w:val="00471EC2"/>
    <w:rsid w:val="00472B03"/>
    <w:rsid w:val="004750A0"/>
    <w:rsid w:val="00480B3C"/>
    <w:rsid w:val="00487BD4"/>
    <w:rsid w:val="004903AE"/>
    <w:rsid w:val="00494581"/>
    <w:rsid w:val="004945D9"/>
    <w:rsid w:val="004958A6"/>
    <w:rsid w:val="004A4970"/>
    <w:rsid w:val="004A7720"/>
    <w:rsid w:val="004B173C"/>
    <w:rsid w:val="004C3083"/>
    <w:rsid w:val="004D0FE4"/>
    <w:rsid w:val="004D2ED7"/>
    <w:rsid w:val="004D4258"/>
    <w:rsid w:val="004D559B"/>
    <w:rsid w:val="004E352A"/>
    <w:rsid w:val="004E5388"/>
    <w:rsid w:val="004F7BF9"/>
    <w:rsid w:val="004F7E2B"/>
    <w:rsid w:val="00516A63"/>
    <w:rsid w:val="00523944"/>
    <w:rsid w:val="005259C1"/>
    <w:rsid w:val="00530419"/>
    <w:rsid w:val="005336B6"/>
    <w:rsid w:val="00536EF1"/>
    <w:rsid w:val="00542C99"/>
    <w:rsid w:val="0055126B"/>
    <w:rsid w:val="00555AC9"/>
    <w:rsid w:val="00562ED4"/>
    <w:rsid w:val="00573D43"/>
    <w:rsid w:val="00583B54"/>
    <w:rsid w:val="0058441E"/>
    <w:rsid w:val="00584618"/>
    <w:rsid w:val="0058666A"/>
    <w:rsid w:val="00591A87"/>
    <w:rsid w:val="005A0E34"/>
    <w:rsid w:val="005A1661"/>
    <w:rsid w:val="005A2E1B"/>
    <w:rsid w:val="005A3AFC"/>
    <w:rsid w:val="005A6DD3"/>
    <w:rsid w:val="005B4029"/>
    <w:rsid w:val="005C68FC"/>
    <w:rsid w:val="005C7DE5"/>
    <w:rsid w:val="005D57C9"/>
    <w:rsid w:val="005D6547"/>
    <w:rsid w:val="005E36D0"/>
    <w:rsid w:val="005E61A3"/>
    <w:rsid w:val="005F140E"/>
    <w:rsid w:val="005F50B9"/>
    <w:rsid w:val="006055F5"/>
    <w:rsid w:val="00605627"/>
    <w:rsid w:val="00615F76"/>
    <w:rsid w:val="0062504E"/>
    <w:rsid w:val="00634B0B"/>
    <w:rsid w:val="006353BF"/>
    <w:rsid w:val="0064149A"/>
    <w:rsid w:val="00642050"/>
    <w:rsid w:val="0064252A"/>
    <w:rsid w:val="00645EBF"/>
    <w:rsid w:val="00651232"/>
    <w:rsid w:val="00654A77"/>
    <w:rsid w:val="00656112"/>
    <w:rsid w:val="00656519"/>
    <w:rsid w:val="00660236"/>
    <w:rsid w:val="00661C60"/>
    <w:rsid w:val="00663A87"/>
    <w:rsid w:val="0067364D"/>
    <w:rsid w:val="0067687B"/>
    <w:rsid w:val="006808BD"/>
    <w:rsid w:val="006932B9"/>
    <w:rsid w:val="006A2807"/>
    <w:rsid w:val="006A4652"/>
    <w:rsid w:val="006B0D00"/>
    <w:rsid w:val="006C00B5"/>
    <w:rsid w:val="006C2C0D"/>
    <w:rsid w:val="006D08BC"/>
    <w:rsid w:val="006D3468"/>
    <w:rsid w:val="006D438E"/>
    <w:rsid w:val="006D6FE1"/>
    <w:rsid w:val="006E05A1"/>
    <w:rsid w:val="006E140A"/>
    <w:rsid w:val="006E3BAE"/>
    <w:rsid w:val="006E68C5"/>
    <w:rsid w:val="006F02B6"/>
    <w:rsid w:val="006F3DFA"/>
    <w:rsid w:val="006F425B"/>
    <w:rsid w:val="00702F70"/>
    <w:rsid w:val="00705AFC"/>
    <w:rsid w:val="007073B3"/>
    <w:rsid w:val="00710258"/>
    <w:rsid w:val="00721757"/>
    <w:rsid w:val="00724DA7"/>
    <w:rsid w:val="007308A5"/>
    <w:rsid w:val="0073133A"/>
    <w:rsid w:val="00731A7C"/>
    <w:rsid w:val="00735734"/>
    <w:rsid w:val="007432C7"/>
    <w:rsid w:val="0074408F"/>
    <w:rsid w:val="00744BBA"/>
    <w:rsid w:val="00753344"/>
    <w:rsid w:val="00753D05"/>
    <w:rsid w:val="00755CF7"/>
    <w:rsid w:val="007569A7"/>
    <w:rsid w:val="007663F3"/>
    <w:rsid w:val="007741F8"/>
    <w:rsid w:val="00776A33"/>
    <w:rsid w:val="007872E7"/>
    <w:rsid w:val="007920FA"/>
    <w:rsid w:val="007A5C10"/>
    <w:rsid w:val="007A7713"/>
    <w:rsid w:val="007B6F9C"/>
    <w:rsid w:val="007C1267"/>
    <w:rsid w:val="007C39A4"/>
    <w:rsid w:val="007C3FEB"/>
    <w:rsid w:val="007D01DC"/>
    <w:rsid w:val="007D15DC"/>
    <w:rsid w:val="007D250D"/>
    <w:rsid w:val="007D6EB1"/>
    <w:rsid w:val="007E7DCA"/>
    <w:rsid w:val="007F0F8F"/>
    <w:rsid w:val="007F7D66"/>
    <w:rsid w:val="00806D7B"/>
    <w:rsid w:val="008075D9"/>
    <w:rsid w:val="00820593"/>
    <w:rsid w:val="00820934"/>
    <w:rsid w:val="008225F1"/>
    <w:rsid w:val="00824424"/>
    <w:rsid w:val="00825205"/>
    <w:rsid w:val="00831206"/>
    <w:rsid w:val="0083133D"/>
    <w:rsid w:val="0083487A"/>
    <w:rsid w:val="00843F1D"/>
    <w:rsid w:val="00843FFA"/>
    <w:rsid w:val="0084612A"/>
    <w:rsid w:val="00847B19"/>
    <w:rsid w:val="00852550"/>
    <w:rsid w:val="0086052A"/>
    <w:rsid w:val="00862292"/>
    <w:rsid w:val="00865D29"/>
    <w:rsid w:val="00865FDE"/>
    <w:rsid w:val="00870FF0"/>
    <w:rsid w:val="008735EA"/>
    <w:rsid w:val="0087797B"/>
    <w:rsid w:val="00881736"/>
    <w:rsid w:val="00885141"/>
    <w:rsid w:val="0089561F"/>
    <w:rsid w:val="008A1FA4"/>
    <w:rsid w:val="008B2C05"/>
    <w:rsid w:val="008C29E6"/>
    <w:rsid w:val="008C55F1"/>
    <w:rsid w:val="008C579A"/>
    <w:rsid w:val="008F209A"/>
    <w:rsid w:val="008F3A33"/>
    <w:rsid w:val="00901FB4"/>
    <w:rsid w:val="009046F0"/>
    <w:rsid w:val="00906FBE"/>
    <w:rsid w:val="00923C7B"/>
    <w:rsid w:val="0092578F"/>
    <w:rsid w:val="00925DF3"/>
    <w:rsid w:val="00927A7F"/>
    <w:rsid w:val="00931961"/>
    <w:rsid w:val="009667AA"/>
    <w:rsid w:val="0097690A"/>
    <w:rsid w:val="00977635"/>
    <w:rsid w:val="00995D17"/>
    <w:rsid w:val="009967B1"/>
    <w:rsid w:val="00997CCD"/>
    <w:rsid w:val="009A7FE5"/>
    <w:rsid w:val="009B54A3"/>
    <w:rsid w:val="009C0FF2"/>
    <w:rsid w:val="009C1B36"/>
    <w:rsid w:val="009D3752"/>
    <w:rsid w:val="009D4AB1"/>
    <w:rsid w:val="009D54B9"/>
    <w:rsid w:val="009D56F8"/>
    <w:rsid w:val="009E3F70"/>
    <w:rsid w:val="009E413B"/>
    <w:rsid w:val="009F7F1D"/>
    <w:rsid w:val="00A07E9B"/>
    <w:rsid w:val="00A16C21"/>
    <w:rsid w:val="00A17197"/>
    <w:rsid w:val="00A33547"/>
    <w:rsid w:val="00A3365F"/>
    <w:rsid w:val="00A33B37"/>
    <w:rsid w:val="00A37088"/>
    <w:rsid w:val="00A37EF6"/>
    <w:rsid w:val="00A429CB"/>
    <w:rsid w:val="00A5745B"/>
    <w:rsid w:val="00A63361"/>
    <w:rsid w:val="00A672DD"/>
    <w:rsid w:val="00A74620"/>
    <w:rsid w:val="00A946C7"/>
    <w:rsid w:val="00AA2DC4"/>
    <w:rsid w:val="00AB06F7"/>
    <w:rsid w:val="00AB1644"/>
    <w:rsid w:val="00AB52EB"/>
    <w:rsid w:val="00AB5FCB"/>
    <w:rsid w:val="00AC0F4E"/>
    <w:rsid w:val="00AC19D6"/>
    <w:rsid w:val="00AC22F7"/>
    <w:rsid w:val="00AD0A8B"/>
    <w:rsid w:val="00AD4B79"/>
    <w:rsid w:val="00AE1746"/>
    <w:rsid w:val="00AF71CB"/>
    <w:rsid w:val="00B0161B"/>
    <w:rsid w:val="00B1121A"/>
    <w:rsid w:val="00B14678"/>
    <w:rsid w:val="00B257FA"/>
    <w:rsid w:val="00B337B1"/>
    <w:rsid w:val="00B4141B"/>
    <w:rsid w:val="00B4276B"/>
    <w:rsid w:val="00B454D5"/>
    <w:rsid w:val="00B475BB"/>
    <w:rsid w:val="00B56D2F"/>
    <w:rsid w:val="00B63478"/>
    <w:rsid w:val="00B66254"/>
    <w:rsid w:val="00B73244"/>
    <w:rsid w:val="00B836DF"/>
    <w:rsid w:val="00B86FCC"/>
    <w:rsid w:val="00B9273B"/>
    <w:rsid w:val="00B934B0"/>
    <w:rsid w:val="00B9653A"/>
    <w:rsid w:val="00B978DB"/>
    <w:rsid w:val="00BA0373"/>
    <w:rsid w:val="00BA180A"/>
    <w:rsid w:val="00BC0027"/>
    <w:rsid w:val="00BC7E3A"/>
    <w:rsid w:val="00BD16F9"/>
    <w:rsid w:val="00BD45AF"/>
    <w:rsid w:val="00BD6DE2"/>
    <w:rsid w:val="00BE000C"/>
    <w:rsid w:val="00BE2EE5"/>
    <w:rsid w:val="00C03D82"/>
    <w:rsid w:val="00C075A5"/>
    <w:rsid w:val="00C10C4F"/>
    <w:rsid w:val="00C133CB"/>
    <w:rsid w:val="00C140F2"/>
    <w:rsid w:val="00C23DB4"/>
    <w:rsid w:val="00C31C41"/>
    <w:rsid w:val="00C50780"/>
    <w:rsid w:val="00C5152E"/>
    <w:rsid w:val="00C538F8"/>
    <w:rsid w:val="00C5478D"/>
    <w:rsid w:val="00C56269"/>
    <w:rsid w:val="00C57E98"/>
    <w:rsid w:val="00C64BB5"/>
    <w:rsid w:val="00C65810"/>
    <w:rsid w:val="00C70750"/>
    <w:rsid w:val="00C711EA"/>
    <w:rsid w:val="00C77BC4"/>
    <w:rsid w:val="00C81A99"/>
    <w:rsid w:val="00C84DA5"/>
    <w:rsid w:val="00C8556A"/>
    <w:rsid w:val="00C90E10"/>
    <w:rsid w:val="00C9273E"/>
    <w:rsid w:val="00C95D74"/>
    <w:rsid w:val="00CA0534"/>
    <w:rsid w:val="00CA0587"/>
    <w:rsid w:val="00CA1086"/>
    <w:rsid w:val="00CA2B85"/>
    <w:rsid w:val="00CA3835"/>
    <w:rsid w:val="00CA40F4"/>
    <w:rsid w:val="00CA47FD"/>
    <w:rsid w:val="00CA7D7B"/>
    <w:rsid w:val="00CC28FA"/>
    <w:rsid w:val="00CE12E3"/>
    <w:rsid w:val="00CE63E0"/>
    <w:rsid w:val="00CF15E6"/>
    <w:rsid w:val="00CF44C7"/>
    <w:rsid w:val="00D019E3"/>
    <w:rsid w:val="00D05AA3"/>
    <w:rsid w:val="00D228D4"/>
    <w:rsid w:val="00D41E21"/>
    <w:rsid w:val="00D42272"/>
    <w:rsid w:val="00D452BC"/>
    <w:rsid w:val="00D45EF1"/>
    <w:rsid w:val="00D47C0C"/>
    <w:rsid w:val="00D50656"/>
    <w:rsid w:val="00D57882"/>
    <w:rsid w:val="00D57D5D"/>
    <w:rsid w:val="00D60FB5"/>
    <w:rsid w:val="00D614F6"/>
    <w:rsid w:val="00D62B6C"/>
    <w:rsid w:val="00D64AC7"/>
    <w:rsid w:val="00D66ECA"/>
    <w:rsid w:val="00D71906"/>
    <w:rsid w:val="00D73411"/>
    <w:rsid w:val="00D76FF7"/>
    <w:rsid w:val="00D77110"/>
    <w:rsid w:val="00D8204B"/>
    <w:rsid w:val="00D830AD"/>
    <w:rsid w:val="00D83467"/>
    <w:rsid w:val="00D86722"/>
    <w:rsid w:val="00D92A62"/>
    <w:rsid w:val="00D93EB3"/>
    <w:rsid w:val="00D96FD9"/>
    <w:rsid w:val="00D9751F"/>
    <w:rsid w:val="00DA0E91"/>
    <w:rsid w:val="00DA3B70"/>
    <w:rsid w:val="00DA62F3"/>
    <w:rsid w:val="00DA7787"/>
    <w:rsid w:val="00DA7A98"/>
    <w:rsid w:val="00DA7BEF"/>
    <w:rsid w:val="00DB5808"/>
    <w:rsid w:val="00DB7639"/>
    <w:rsid w:val="00DC5A25"/>
    <w:rsid w:val="00DD297F"/>
    <w:rsid w:val="00DD3FBF"/>
    <w:rsid w:val="00DE4F0C"/>
    <w:rsid w:val="00DE56F1"/>
    <w:rsid w:val="00DE7369"/>
    <w:rsid w:val="00DF0E19"/>
    <w:rsid w:val="00DF1C1C"/>
    <w:rsid w:val="00E01BE3"/>
    <w:rsid w:val="00E022D3"/>
    <w:rsid w:val="00E11392"/>
    <w:rsid w:val="00E16394"/>
    <w:rsid w:val="00E17BF0"/>
    <w:rsid w:val="00E17EE7"/>
    <w:rsid w:val="00E22F6C"/>
    <w:rsid w:val="00E24DE5"/>
    <w:rsid w:val="00E26F6C"/>
    <w:rsid w:val="00E275CE"/>
    <w:rsid w:val="00E327CD"/>
    <w:rsid w:val="00E3428A"/>
    <w:rsid w:val="00E4560F"/>
    <w:rsid w:val="00E53298"/>
    <w:rsid w:val="00E53EE6"/>
    <w:rsid w:val="00E554CA"/>
    <w:rsid w:val="00E56262"/>
    <w:rsid w:val="00E56378"/>
    <w:rsid w:val="00E63085"/>
    <w:rsid w:val="00E70C62"/>
    <w:rsid w:val="00E77525"/>
    <w:rsid w:val="00E82CD9"/>
    <w:rsid w:val="00E82F51"/>
    <w:rsid w:val="00E925BE"/>
    <w:rsid w:val="00E926EB"/>
    <w:rsid w:val="00E973D8"/>
    <w:rsid w:val="00EA64D8"/>
    <w:rsid w:val="00EA6B83"/>
    <w:rsid w:val="00EC0326"/>
    <w:rsid w:val="00EC4836"/>
    <w:rsid w:val="00EC49C6"/>
    <w:rsid w:val="00ED5E7F"/>
    <w:rsid w:val="00ED79D2"/>
    <w:rsid w:val="00EE07DE"/>
    <w:rsid w:val="00EE2F17"/>
    <w:rsid w:val="00EE3C3C"/>
    <w:rsid w:val="00EE58DB"/>
    <w:rsid w:val="00F01193"/>
    <w:rsid w:val="00F03B8B"/>
    <w:rsid w:val="00F045EF"/>
    <w:rsid w:val="00F04F24"/>
    <w:rsid w:val="00F055BD"/>
    <w:rsid w:val="00F058AD"/>
    <w:rsid w:val="00F0606B"/>
    <w:rsid w:val="00F13A78"/>
    <w:rsid w:val="00F15AFD"/>
    <w:rsid w:val="00F250E3"/>
    <w:rsid w:val="00F40929"/>
    <w:rsid w:val="00F46D4F"/>
    <w:rsid w:val="00F56886"/>
    <w:rsid w:val="00F71CAE"/>
    <w:rsid w:val="00F72BC8"/>
    <w:rsid w:val="00F8458E"/>
    <w:rsid w:val="00F96803"/>
    <w:rsid w:val="00FA7ED4"/>
    <w:rsid w:val="00FB4EB2"/>
    <w:rsid w:val="00FC3A59"/>
    <w:rsid w:val="00FC7777"/>
    <w:rsid w:val="00FD7C39"/>
    <w:rsid w:val="00FF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A93EC"/>
  <w15:docId w15:val="{A3246B01-54AC-4DCB-8DBB-F5E075EE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79A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5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7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7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7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7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5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5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57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579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57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57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57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57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57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C5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5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5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579A"/>
    <w:rPr>
      <w:i/>
      <w:iCs/>
      <w:color w:val="404040" w:themeColor="text1" w:themeTint="BF"/>
    </w:rPr>
  </w:style>
  <w:style w:type="paragraph" w:styleId="a7">
    <w:name w:val="List Paragraph"/>
    <w:aliases w:val="List Paragraph (numbered (a)),Akapit z listą BS,Bullets,List Paragraph1,Heading,Dot pt,F5 List Paragraph,No Spacing1,List Paragraph Char Char Char,Indicator Text,Numbered Para 1,Bullet 1,Bullet Points,List Paragraph2,MAIN CONTENT,WB Para"/>
    <w:basedOn w:val="a"/>
    <w:link w:val="a8"/>
    <w:uiPriority w:val="99"/>
    <w:qFormat/>
    <w:rsid w:val="008C579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C579A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C5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C579A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8C579A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8C5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af"/>
    <w:uiPriority w:val="99"/>
    <w:unhideWhenUsed/>
    <w:rsid w:val="002453AD"/>
    <w:rPr>
      <w:rFonts w:ascii="Calibri" w:eastAsiaTheme="minorHAnsi" w:hAnsi="Calibri" w:cs="Consolas"/>
      <w:noProof w:val="0"/>
      <w:sz w:val="22"/>
      <w:szCs w:val="21"/>
      <w:lang w:val="en-US" w:eastAsia="en-US"/>
    </w:rPr>
  </w:style>
  <w:style w:type="character" w:customStyle="1" w:styleId="af">
    <w:name w:val="Текст Знак"/>
    <w:basedOn w:val="a0"/>
    <w:link w:val="ae"/>
    <w:uiPriority w:val="99"/>
    <w:rsid w:val="002453AD"/>
    <w:rPr>
      <w:rFonts w:ascii="Calibri" w:hAnsi="Calibri" w:cs="Consolas"/>
      <w:kern w:val="0"/>
      <w:szCs w:val="21"/>
      <w14:ligatures w14:val="none"/>
    </w:rPr>
  </w:style>
  <w:style w:type="character" w:styleId="af0">
    <w:name w:val="Hyperlink"/>
    <w:basedOn w:val="a0"/>
    <w:uiPriority w:val="99"/>
    <w:rsid w:val="00DE4F0C"/>
    <w:rPr>
      <w:color w:val="0000FF"/>
      <w:u w:val="single"/>
    </w:rPr>
  </w:style>
  <w:style w:type="paragraph" w:customStyle="1" w:styleId="Normal1">
    <w:name w:val="Normal1"/>
    <w:qFormat/>
    <w:rsid w:val="003C5E85"/>
    <w:pPr>
      <w:spacing w:before="100" w:beforeAutospacing="1" w:line="254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UnresolvedMention1">
    <w:name w:val="Unresolved Mention1"/>
    <w:basedOn w:val="a0"/>
    <w:uiPriority w:val="99"/>
    <w:semiHidden/>
    <w:unhideWhenUsed/>
    <w:rsid w:val="008F209A"/>
    <w:rPr>
      <w:color w:val="605E5C"/>
      <w:shd w:val="clear" w:color="auto" w:fill="E1DFDD"/>
    </w:rPr>
  </w:style>
  <w:style w:type="character" w:customStyle="1" w:styleId="a8">
    <w:name w:val="Абзац списка Знак"/>
    <w:aliases w:val="List Paragraph (numbered (a)) Знак,Akapit z listą BS Знак,Bullets Знак,List Paragraph1 Знак,Heading Знак,Dot pt Знак,F5 List Paragraph Знак,No Spacing1 Знак,List Paragraph Char Char Char Знак,Indicator Text Знак,Numbered Para 1 Знак"/>
    <w:link w:val="a7"/>
    <w:uiPriority w:val="34"/>
    <w:qFormat/>
    <w:locked/>
    <w:rsid w:val="00C711EA"/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paragraph" w:styleId="af1">
    <w:name w:val="Body Text"/>
    <w:basedOn w:val="a"/>
    <w:link w:val="af2"/>
    <w:unhideWhenUsed/>
    <w:rsid w:val="00C711EA"/>
    <w:pPr>
      <w:spacing w:after="120"/>
    </w:pPr>
    <w:rPr>
      <w:noProof w:val="0"/>
      <w:lang w:val="en-US" w:eastAsia="en-US"/>
    </w:rPr>
  </w:style>
  <w:style w:type="character" w:customStyle="1" w:styleId="af2">
    <w:name w:val="Основной текст Знак"/>
    <w:basedOn w:val="a0"/>
    <w:link w:val="af1"/>
    <w:rsid w:val="00C711E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ra">
    <w:name w:val="Para"/>
    <w:basedOn w:val="a"/>
    <w:autoRedefine/>
    <w:rsid w:val="00D62B6C"/>
    <w:pPr>
      <w:numPr>
        <w:numId w:val="1"/>
      </w:numPr>
      <w:tabs>
        <w:tab w:val="left" w:pos="270"/>
        <w:tab w:val="left" w:pos="5560"/>
      </w:tabs>
      <w:spacing w:before="80" w:after="80"/>
      <w:ind w:left="725"/>
    </w:pPr>
    <w:rPr>
      <w:rFonts w:asciiTheme="minorHAnsi" w:hAnsiTheme="minorHAnsi"/>
      <w:iCs/>
      <w:noProof w:val="0"/>
      <w:position w:val="6"/>
      <w:sz w:val="20"/>
      <w:szCs w:val="20"/>
      <w:lang w:eastAsia="en-US"/>
    </w:rPr>
  </w:style>
  <w:style w:type="table" w:customStyle="1" w:styleId="PlainTable11">
    <w:name w:val="Plain Table 11"/>
    <w:basedOn w:val="a1"/>
    <w:uiPriority w:val="41"/>
    <w:rsid w:val="00C711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f0">
    <w:name w:val="pf0"/>
    <w:basedOn w:val="a"/>
    <w:rsid w:val="00C711EA"/>
    <w:pPr>
      <w:spacing w:before="100" w:beforeAutospacing="1" w:after="100" w:afterAutospacing="1"/>
    </w:pPr>
    <w:rPr>
      <w:noProof w:val="0"/>
      <w:lang w:val="en-US" w:eastAsia="en-US"/>
    </w:rPr>
  </w:style>
  <w:style w:type="paragraph" w:styleId="af3">
    <w:name w:val="Body Text Indent"/>
    <w:basedOn w:val="a"/>
    <w:link w:val="af4"/>
    <w:uiPriority w:val="99"/>
    <w:semiHidden/>
    <w:unhideWhenUsed/>
    <w:rsid w:val="00C95D74"/>
    <w:pPr>
      <w:spacing w:after="120"/>
      <w:ind w:left="360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C95D74"/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paragraph" w:styleId="af5">
    <w:name w:val="caption"/>
    <w:basedOn w:val="a"/>
    <w:next w:val="a"/>
    <w:unhideWhenUsed/>
    <w:qFormat/>
    <w:rsid w:val="00881736"/>
    <w:pPr>
      <w:spacing w:after="200"/>
    </w:pPr>
    <w:rPr>
      <w:b/>
      <w:bCs/>
      <w:noProof w:val="0"/>
      <w:color w:val="156082" w:themeColor="accent1"/>
      <w:sz w:val="18"/>
      <w:szCs w:val="18"/>
      <w:lang w:val="en-US" w:eastAsia="en-US"/>
    </w:rPr>
  </w:style>
  <w:style w:type="paragraph" w:styleId="af6">
    <w:name w:val="header"/>
    <w:basedOn w:val="a"/>
    <w:link w:val="af7"/>
    <w:uiPriority w:val="99"/>
    <w:unhideWhenUsed/>
    <w:rsid w:val="00F055BD"/>
    <w:pPr>
      <w:tabs>
        <w:tab w:val="center" w:pos="4680"/>
        <w:tab w:val="right" w:pos="9360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055BD"/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paragraph" w:styleId="af8">
    <w:name w:val="footer"/>
    <w:basedOn w:val="a"/>
    <w:link w:val="af9"/>
    <w:uiPriority w:val="99"/>
    <w:unhideWhenUsed/>
    <w:rsid w:val="00F055BD"/>
    <w:pPr>
      <w:tabs>
        <w:tab w:val="center" w:pos="4680"/>
        <w:tab w:val="right" w:pos="9360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055BD"/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paragraph" w:styleId="31">
    <w:name w:val="Body Text Indent 3"/>
    <w:basedOn w:val="a"/>
    <w:link w:val="32"/>
    <w:uiPriority w:val="99"/>
    <w:semiHidden/>
    <w:unhideWhenUsed/>
    <w:rsid w:val="00E925BE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925BE"/>
    <w:rPr>
      <w:rFonts w:ascii="Times New Roman" w:eastAsia="Times New Roman" w:hAnsi="Times New Roman" w:cs="Times New Roman"/>
      <w:noProof/>
      <w:kern w:val="0"/>
      <w:sz w:val="16"/>
      <w:szCs w:val="16"/>
      <w:lang w:val="hy-AM" w:eastAsia="ru-RU"/>
      <w14:ligatures w14:val="none"/>
    </w:rPr>
  </w:style>
  <w:style w:type="paragraph" w:customStyle="1" w:styleId="norm">
    <w:name w:val="norm"/>
    <w:basedOn w:val="a"/>
    <w:uiPriority w:val="99"/>
    <w:rsid w:val="00E925BE"/>
    <w:pPr>
      <w:spacing w:line="480" w:lineRule="auto"/>
      <w:ind w:firstLine="709"/>
      <w:jc w:val="both"/>
    </w:pPr>
    <w:rPr>
      <w:rFonts w:ascii="Arial Armenian" w:hAnsi="Arial Armenian"/>
      <w:noProof w:val="0"/>
      <w:sz w:val="22"/>
      <w:szCs w:val="20"/>
      <w:lang w:val="en-US"/>
    </w:rPr>
  </w:style>
  <w:style w:type="character" w:styleId="afa">
    <w:name w:val="Emphasis"/>
    <w:basedOn w:val="a0"/>
    <w:qFormat/>
    <w:rsid w:val="00E925BE"/>
    <w:rPr>
      <w:i/>
      <w:iCs/>
    </w:rPr>
  </w:style>
  <w:style w:type="character" w:styleId="afb">
    <w:name w:val="FollowedHyperlink"/>
    <w:basedOn w:val="a0"/>
    <w:uiPriority w:val="99"/>
    <w:semiHidden/>
    <w:unhideWhenUsed/>
    <w:rsid w:val="001F1E7C"/>
    <w:rPr>
      <w:color w:val="96607D" w:themeColor="followedHyperlink"/>
      <w:u w:val="single"/>
    </w:rPr>
  </w:style>
  <w:style w:type="paragraph" w:styleId="afc">
    <w:name w:val="Revision"/>
    <w:hidden/>
    <w:uiPriority w:val="99"/>
    <w:semiHidden/>
    <w:rsid w:val="0092578F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character" w:styleId="afd">
    <w:name w:val="annotation reference"/>
    <w:basedOn w:val="a0"/>
    <w:uiPriority w:val="99"/>
    <w:semiHidden/>
    <w:unhideWhenUsed/>
    <w:rsid w:val="00E327CD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E327C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E327CD"/>
    <w:rPr>
      <w:rFonts w:ascii="Times New Roman" w:eastAsia="Times New Roman" w:hAnsi="Times New Roman" w:cs="Times New Roman"/>
      <w:noProof/>
      <w:kern w:val="0"/>
      <w:sz w:val="20"/>
      <w:szCs w:val="20"/>
      <w:lang w:val="hy-AM" w:eastAsia="ru-RU"/>
      <w14:ligatures w14:val="none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327CD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327CD"/>
    <w:rPr>
      <w:rFonts w:ascii="Times New Roman" w:eastAsia="Times New Roman" w:hAnsi="Times New Roman" w:cs="Times New Roman"/>
      <w:b/>
      <w:bCs/>
      <w:noProof/>
      <w:kern w:val="0"/>
      <w:sz w:val="20"/>
      <w:szCs w:val="20"/>
      <w:lang w:val="hy-AM" w:eastAsia="ru-RU"/>
      <w14:ligatures w14:val="none"/>
    </w:rPr>
  </w:style>
  <w:style w:type="paragraph" w:styleId="aff2">
    <w:name w:val="Balloon Text"/>
    <w:basedOn w:val="a"/>
    <w:link w:val="aff3"/>
    <w:uiPriority w:val="99"/>
    <w:semiHidden/>
    <w:unhideWhenUsed/>
    <w:rsid w:val="00421937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421937"/>
    <w:rPr>
      <w:rFonts w:ascii="Tahoma" w:eastAsia="Times New Roman" w:hAnsi="Tahoma" w:cs="Tahoma"/>
      <w:noProof/>
      <w:kern w:val="0"/>
      <w:sz w:val="16"/>
      <w:szCs w:val="16"/>
      <w:lang w:val="hy-AM" w:eastAsia="ru-RU"/>
      <w14:ligatures w14:val="none"/>
    </w:rPr>
  </w:style>
  <w:style w:type="paragraph" w:styleId="aff4">
    <w:name w:val="Normal (Web)"/>
    <w:basedOn w:val="a"/>
    <w:uiPriority w:val="99"/>
    <w:semiHidden/>
    <w:unhideWhenUsed/>
    <w:rsid w:val="00B63478"/>
  </w:style>
  <w:style w:type="character" w:customStyle="1" w:styleId="sr-only">
    <w:name w:val="sr-only"/>
    <w:basedOn w:val="a0"/>
    <w:rsid w:val="00E01BE3"/>
  </w:style>
  <w:style w:type="character" w:styleId="aff5">
    <w:name w:val="Strong"/>
    <w:basedOn w:val="a0"/>
    <w:uiPriority w:val="22"/>
    <w:qFormat/>
    <w:rsid w:val="006E140A"/>
    <w:rPr>
      <w:b/>
      <w:bCs/>
    </w:rPr>
  </w:style>
  <w:style w:type="paragraph" w:styleId="aff6">
    <w:name w:val="footnote text"/>
    <w:basedOn w:val="a"/>
    <w:link w:val="aff7"/>
    <w:uiPriority w:val="99"/>
    <w:semiHidden/>
    <w:unhideWhenUsed/>
    <w:rsid w:val="00E53298"/>
    <w:rPr>
      <w:rFonts w:asciiTheme="minorHAnsi" w:eastAsiaTheme="minorHAnsi" w:hAnsiTheme="minorHAnsi" w:cstheme="minorBidi"/>
      <w:noProof w:val="0"/>
      <w:kern w:val="2"/>
      <w:sz w:val="20"/>
      <w:szCs w:val="20"/>
      <w:lang w:val="en-US" w:eastAsia="en-US"/>
      <w14:ligatures w14:val="standardContextual"/>
    </w:rPr>
  </w:style>
  <w:style w:type="character" w:customStyle="1" w:styleId="aff7">
    <w:name w:val="Текст сноски Знак"/>
    <w:basedOn w:val="a0"/>
    <w:link w:val="aff6"/>
    <w:uiPriority w:val="99"/>
    <w:semiHidden/>
    <w:rsid w:val="00E53298"/>
    <w:rPr>
      <w:sz w:val="20"/>
      <w:szCs w:val="20"/>
    </w:rPr>
  </w:style>
  <w:style w:type="character" w:styleId="aff8">
    <w:name w:val="footnote reference"/>
    <w:basedOn w:val="a0"/>
    <w:uiPriority w:val="99"/>
    <w:semiHidden/>
    <w:unhideWhenUsed/>
    <w:rsid w:val="00E53298"/>
    <w:rPr>
      <w:vertAlign w:val="superscript"/>
    </w:rPr>
  </w:style>
  <w:style w:type="paragraph" w:styleId="aff9">
    <w:name w:val="TOC Heading"/>
    <w:basedOn w:val="1"/>
    <w:next w:val="a"/>
    <w:uiPriority w:val="39"/>
    <w:unhideWhenUsed/>
    <w:qFormat/>
    <w:rsid w:val="00E53298"/>
    <w:pPr>
      <w:spacing w:before="240" w:after="0" w:line="259" w:lineRule="auto"/>
      <w:outlineLvl w:val="9"/>
    </w:pPr>
    <w:rPr>
      <w:noProof w:val="0"/>
      <w:sz w:val="32"/>
      <w:szCs w:val="32"/>
      <w:lang w:val="en-US" w:eastAsia="en-US"/>
    </w:rPr>
  </w:style>
  <w:style w:type="paragraph" w:styleId="11">
    <w:name w:val="toc 1"/>
    <w:basedOn w:val="a"/>
    <w:next w:val="a"/>
    <w:autoRedefine/>
    <w:uiPriority w:val="39"/>
    <w:unhideWhenUsed/>
    <w:rsid w:val="00E53298"/>
    <w:pPr>
      <w:tabs>
        <w:tab w:val="left" w:pos="450"/>
        <w:tab w:val="right" w:leader="dot" w:pos="9350"/>
      </w:tabs>
      <w:spacing w:after="100" w:line="278" w:lineRule="auto"/>
    </w:pPr>
    <w:rPr>
      <w:rFonts w:asciiTheme="minorHAnsi" w:eastAsiaTheme="minorHAnsi" w:hAnsiTheme="minorHAnsi" w:cstheme="minorBidi"/>
      <w:noProof w:val="0"/>
      <w:kern w:val="2"/>
      <w:lang w:val="en-US" w:eastAsia="en-US"/>
      <w14:ligatures w14:val="standardContextual"/>
    </w:rPr>
  </w:style>
  <w:style w:type="paragraph" w:styleId="23">
    <w:name w:val="toc 2"/>
    <w:basedOn w:val="a"/>
    <w:next w:val="a"/>
    <w:autoRedefine/>
    <w:uiPriority w:val="39"/>
    <w:unhideWhenUsed/>
    <w:rsid w:val="00E53298"/>
    <w:pPr>
      <w:tabs>
        <w:tab w:val="left" w:pos="630"/>
        <w:tab w:val="right" w:leader="dot" w:pos="9350"/>
      </w:tabs>
      <w:spacing w:after="100" w:line="278" w:lineRule="auto"/>
      <w:ind w:left="630" w:hanging="390"/>
    </w:pPr>
    <w:rPr>
      <w:rFonts w:asciiTheme="minorHAnsi" w:eastAsiaTheme="minorHAnsi" w:hAnsiTheme="minorHAnsi" w:cstheme="minorBidi"/>
      <w:noProof w:val="0"/>
      <w:kern w:val="2"/>
      <w:lang w:val="en-US" w:eastAsia="en-US"/>
      <w14:ligatures w14:val="standardContextual"/>
    </w:rPr>
  </w:style>
  <w:style w:type="table" w:customStyle="1" w:styleId="-411">
    <w:name w:val="Таблица-сетка 4 — акцент 11"/>
    <w:basedOn w:val="a1"/>
    <w:uiPriority w:val="49"/>
    <w:rsid w:val="00CE12E3"/>
    <w:pPr>
      <w:spacing w:after="0" w:line="240" w:lineRule="auto"/>
    </w:pPr>
    <w:rPr>
      <w:rFonts w:ascii="DejaVu Sans" w:eastAsia="DejaVu Sans" w:hAnsi="DejaVu Sans" w:cs="DejaVu Sans"/>
    </w:rPr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2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0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dp.org/armenia/publications/conservation-and-sustainable-management-land-resources-and-high-value-ecosystems-lake-sevan-basin-multiple-benefits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curement@epiu.a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nna.hakobjan722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curement@epiu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13</Pages>
  <Words>4558</Words>
  <Characters>25983</Characters>
  <Application>Microsoft Office Word</Application>
  <DocSecurity>0</DocSecurity>
  <Lines>216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UNDP</dc:creator>
  <cp:lastModifiedBy>Учетная запись Майкрософт</cp:lastModifiedBy>
  <cp:revision>62</cp:revision>
  <dcterms:created xsi:type="dcterms:W3CDTF">2025-07-30T05:42:00Z</dcterms:created>
  <dcterms:modified xsi:type="dcterms:W3CDTF">2026-06-02T07:43:00Z</dcterms:modified>
</cp:coreProperties>
</file>