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8B" w:rsidRDefault="00696C8B">
      <w:r w:rsidRPr="00696C8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left:0;text-align:left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696C8B" w:rsidRPr="007A3C13" w:rsidRDefault="002A59FE">
                  <w:pPr>
                    <w:bidi/>
                    <w:contextualSpacing/>
                    <w:rPr>
                      <w:lang w:val="ru-RU"/>
                    </w:rPr>
                  </w:pPr>
                  <w:r>
                    <w:rPr>
                      <w:noProof/>
                      <w:position w:val="-6"/>
                      <w:lang w:val="ru-RU" w:eastAsia="ru-RU"/>
                    </w:rPr>
                    <w:drawing>
                      <wp:inline distT="0" distB="0" distL="0" distR="0">
                        <wp:extent cx="316230" cy="179705"/>
                        <wp:effectExtent l="0" t="0" r="0" b="0"/>
                        <wp:docPr id="100010001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14="http://schemas.microsoft.com/office/word/2010/wordprocessingDrawing" xmlns:w14="http://schemas.microsoft.com/office/word/2010/wordml" xmlns:wps="http://schemas.microsoft.com/office/word/2010/wordprocessingShape" xmlns:w10="urn:schemas-microsoft-com:office:word" xmlns:mc="http://schemas.openxmlformats.org/markup-compatibility/2006" xmlns:w="http://schemas.openxmlformats.org/wordprocessingml/2006/main" xmlns:v="urn:schemas-microsoft-com:vml" xmlns:o="urn:schemas-microsoft-com:office:office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9" w:tooltip="Doc Translator - www.onlinedoctranslator.com" w:history="1">
                    <w:r w:rsidRPr="007A3C13">
                      <w:rPr>
                        <w:rFonts w:ascii="Roboto" w:hAnsi="Roboto"/>
                        <w:color w:val="0F2B46"/>
                        <w:sz w:val="18"/>
                        <w:szCs w:val="18"/>
                        <w:lang w:val="ru-RU"/>
                      </w:rPr>
                      <w:t xml:space="preserve">Перевод: армянский - русский - 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www</w:t>
                    </w:r>
                    <w:r w:rsidRPr="007A3C13"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  <w:lang w:val="ru-RU"/>
                      </w:rPr>
                      <w:t>.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onlinedoctranslator</w:t>
                    </w:r>
                    <w:r w:rsidRPr="007A3C13"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  <w:lang w:val="ru-RU"/>
                      </w:rPr>
                      <w:t>.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>Араратский марзпетаран РА</w:t>
      </w:r>
      <w:bookmarkEnd w:id="0"/>
      <w:r w:rsidRPr="009679FB">
        <w:rPr>
          <w:rFonts w:ascii="GHEA Grapalat" w:hAnsi="GHEA Grapalat" w:cs="Sylfaen"/>
          <w:sz w:val="20"/>
          <w:lang w:val="af-ZA"/>
        </w:rPr>
        <w:t>ниже представлены услуги технического надзора для своих нужд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1C5A87">
        <w:rPr>
          <w:rFonts w:ascii="GHEA Grapalat" w:hAnsi="GHEA Grapalat"/>
          <w:b/>
          <w:lang w:val="hy-AM"/>
        </w:rPr>
        <w:t>РААМ-ГЧЦДБ-23/02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1C5A87">
        <w:rPr>
          <w:rFonts w:ascii="GHEA Grapalat" w:hAnsi="GHEA Grapalat"/>
          <w:b/>
          <w:lang w:val="hy-AM"/>
        </w:rPr>
        <w:t>РААМ-ГЧЦДБ-23/02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856"/>
        <w:gridCol w:w="142"/>
        <w:gridCol w:w="68"/>
        <w:gridCol w:w="271"/>
        <w:gridCol w:w="228"/>
        <w:gridCol w:w="153"/>
        <w:gridCol w:w="568"/>
        <w:gridCol w:w="462"/>
        <w:gridCol w:w="104"/>
        <w:gridCol w:w="272"/>
        <w:gridCol w:w="295"/>
        <w:gridCol w:w="131"/>
        <w:gridCol w:w="117"/>
        <w:gridCol w:w="591"/>
        <w:gridCol w:w="219"/>
        <w:gridCol w:w="158"/>
        <w:gridCol w:w="416"/>
        <w:gridCol w:w="777"/>
        <w:gridCol w:w="480"/>
        <w:gridCol w:w="798"/>
        <w:gridCol w:w="12"/>
        <w:gridCol w:w="183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28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7A3C13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 цена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7A3C1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7A3C13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7A3C13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7A3C1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7A3C1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1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F556E" w:rsidRPr="007A3C13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0F556E" w:rsidRPr="004E2F7F" w:rsidRDefault="000F556E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0F556E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>покупка и установка сидений</w:t>
            </w:r>
            <w:r w:rsidRPr="007A3C13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ru-RU"/>
              </w:rPr>
              <w:t>консультационная служба по техническому контролю качества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3F4074" w:rsidRDefault="000F556E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556E" w:rsidRPr="003F4074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0F556E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0F556E" w:rsidRPr="003F4074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3F4074" w:rsidRDefault="000F556E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Pr="00F566BF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Calibri" w:hAnsi="Calibri" w:cs="Calibri"/>
              </w:rPr>
              <w:t>546852</w:t>
            </w: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>покупка и установка сидений</w:t>
            </w:r>
            <w:r w:rsidRPr="007A3C13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ru-RU"/>
              </w:rPr>
              <w:t>консультационная служба по техническому контролю качества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>покупка и установка сидений</w:t>
            </w:r>
            <w:r w:rsidRPr="007A3C13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ru-RU"/>
              </w:rPr>
              <w:t>консультационная служба по техническому контролю качества</w:t>
            </w:r>
          </w:p>
        </w:tc>
      </w:tr>
      <w:tr w:rsidR="00661F3E" w:rsidRPr="007A3C13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7A3C13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7A3C13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0F556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13.06.2023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7A3C13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19" w:type="dxa"/>
            <w:gridSpan w:val="11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25" w:type="dxa"/>
            <w:gridSpan w:val="16"/>
            <w:shd w:val="clear" w:color="auto" w:fill="auto"/>
            <w:vAlign w:val="center"/>
          </w:tcPr>
          <w:p w:rsidR="00661F3E" w:rsidRPr="007A3C13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7A3C13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7A3C13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/драм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7A3C13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1"/>
            <w:vMerge/>
            <w:shd w:val="clear" w:color="auto" w:fill="auto"/>
            <w:vAlign w:val="center"/>
          </w:tcPr>
          <w:p w:rsidR="00661F3E" w:rsidRPr="007A3C13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0F556E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0F556E" w:rsidRPr="00CD0F4E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0F556E" w:rsidRPr="009679FB" w:rsidRDefault="000F556E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&lt;&lt;ТЕХ КОНТРОЛЬ&gt;&gt;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190 000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190 000</w:t>
            </w:r>
          </w:p>
        </w:tc>
      </w:tr>
      <w:tr w:rsidR="000F556E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0F556E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&lt;&lt;Микан&gt;&gt;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300 000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300 000</w:t>
            </w:r>
          </w:p>
        </w:tc>
      </w:tr>
      <w:tr w:rsidR="000F556E" w:rsidRPr="009679FB" w:rsidTr="00BD51CA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0F556E" w:rsidRPr="009679FB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&lt;&lt;ГРИТИГ&gt;&gt;</w:t>
            </w:r>
          </w:p>
        </w:tc>
        <w:tc>
          <w:tcPr>
            <w:tcW w:w="1632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490000</w:t>
            </w:r>
          </w:p>
        </w:tc>
        <w:tc>
          <w:tcPr>
            <w:tcW w:w="225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490000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7A3C13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7A3C13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по приглашению</w:t>
            </w: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7A3C13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7" w:type="dxa"/>
            <w:gridSpan w:val="23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7A3C1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Знакомство:</w:t>
            </w:r>
            <w:r w:rsidRPr="007A3C13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Иные основания для отклонения заявок</w:t>
            </w:r>
          </w:p>
        </w:tc>
      </w:tr>
      <w:tr w:rsidR="00CD0F4E" w:rsidRPr="007A3C13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7A3C13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A3C1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принятия решения выбранным участником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0F556E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23.06.2023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Истечение срока бездействия</w:t>
            </w:r>
          </w:p>
        </w:tc>
      </w:tr>
      <w:tr w:rsidR="00CD0F4E" w:rsidRPr="000F556E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0F556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24.06.2023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0F556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03:00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  <w:r w:rsidR="00A72A8F"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07.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CD0F4E" w:rsidRPr="007A3C13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0F556E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заключить договор выбранному участнику 07.07.2023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A3C13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0C5794" w:rsidP="000C579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10.07.2023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заказчиком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0C579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10.07.2023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4C522C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8788" w:type="dxa"/>
            <w:gridSpan w:val="2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4C522C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2050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 авансового платежа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CD0F4E" w:rsidRPr="009679FB" w:rsidTr="004C522C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4C522C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4C522C" w:rsidRPr="0054059F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522C" w:rsidRPr="004C522C" w:rsidRDefault="004C522C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ООО "ТехКонтроль"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4C522C" w:rsidRPr="004C522C" w:rsidRDefault="004C522C" w:rsidP="005E6E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РААМ-ГЧЦДБ-23/02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4C522C" w:rsidRPr="00A26121" w:rsidRDefault="004C522C" w:rsidP="005E6E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10.07.2023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Окончание срока оказания услуг по техническому контролю определяется как завершение соответствующих строительных работ.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C522C" w:rsidRPr="004C522C" w:rsidRDefault="007A3C13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190000</w:t>
            </w:r>
          </w:p>
        </w:tc>
      </w:tr>
      <w:tr w:rsidR="0054059F" w:rsidRPr="007A3C13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7A3C13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7A3C13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A3C13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АВК/номер и серия паспорта</w:t>
            </w:r>
          </w:p>
        </w:tc>
      </w:tr>
      <w:tr w:rsidR="004C522C" w:rsidRPr="00F37FD2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ООО "ТехКонтроль"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К. Арташат, Исакови 107 квартира 36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F37FD2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13F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220013334994000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04240119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A3C13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7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4B7FBE" w:rsidRPr="007A3C13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A3C13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7A3C13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A3C13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696C8B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10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696C8B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11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7A3C13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A3C13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A3C13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C964BF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C964BF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7A3C13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4B7FBE" w:rsidRPr="007A3C13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0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9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9FE" w:rsidRDefault="002A59FE" w:rsidP="0022631D">
      <w:pPr>
        <w:spacing w:before="0" w:after="0"/>
      </w:pPr>
      <w:r>
        <w:separator/>
      </w:r>
    </w:p>
  </w:endnote>
  <w:endnote w:type="continuationSeparator" w:id="1">
    <w:p w:rsidR="002A59FE" w:rsidRDefault="002A59F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9FE" w:rsidRDefault="002A59FE" w:rsidP="0022631D">
      <w:pPr>
        <w:spacing w:before="0" w:after="0"/>
      </w:pPr>
      <w:r>
        <w:separator/>
      </w:r>
    </w:p>
  </w:footnote>
  <w:footnote w:type="continuationSeparator" w:id="1">
    <w:p w:rsidR="002A59FE" w:rsidRDefault="002A59FE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C5794"/>
    <w:rsid w:val="000D0F46"/>
    <w:rsid w:val="000E2EDE"/>
    <w:rsid w:val="000E4FF1"/>
    <w:rsid w:val="000E67CC"/>
    <w:rsid w:val="000F376D"/>
    <w:rsid w:val="000F556E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59FE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D5FBD"/>
    <w:rsid w:val="005E6EC2"/>
    <w:rsid w:val="005E7AC9"/>
    <w:rsid w:val="005F7FA0"/>
    <w:rsid w:val="00605CB6"/>
    <w:rsid w:val="00607C9A"/>
    <w:rsid w:val="0061273C"/>
    <w:rsid w:val="0061525F"/>
    <w:rsid w:val="006177E1"/>
    <w:rsid w:val="006276C4"/>
    <w:rsid w:val="00635A6D"/>
    <w:rsid w:val="00646760"/>
    <w:rsid w:val="00661F3E"/>
    <w:rsid w:val="00667A3E"/>
    <w:rsid w:val="00685364"/>
    <w:rsid w:val="00690ECB"/>
    <w:rsid w:val="00696C8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3C13"/>
    <w:rsid w:val="007A7328"/>
    <w:rsid w:val="007D741C"/>
    <w:rsid w:val="007D7EA2"/>
    <w:rsid w:val="007E0A40"/>
    <w:rsid w:val="007E607B"/>
    <w:rsid w:val="00802970"/>
    <w:rsid w:val="0081420B"/>
    <w:rsid w:val="00827491"/>
    <w:rsid w:val="008425A0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4BF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numner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132</cp:revision>
  <cp:lastPrinted>2022-09-06T13:16:00Z</cp:lastPrinted>
  <dcterms:created xsi:type="dcterms:W3CDTF">2021-06-28T12:08:00Z</dcterms:created>
  <dcterms:modified xsi:type="dcterms:W3CDTF">2023-07-14T05:33:00Z</dcterms:modified>
</cp:coreProperties>
</file>