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FE7F" w14:textId="77777777" w:rsidR="00000000" w:rsidRDefault="00000000">
      <w:pPr>
        <w:pStyle w:val="NormalWeb"/>
        <w:jc w:val="center"/>
      </w:pPr>
      <w:r>
        <w:rPr>
          <w:b/>
          <w:bCs/>
        </w:rPr>
        <w:t>ՀԱՅՏԱՐԱՐՈՒԹՅՈՒՆ</w:t>
      </w:r>
      <w:r>
        <w:br/>
      </w:r>
      <w:proofErr w:type="spellStart"/>
      <w:r>
        <w:rPr>
          <w:b/>
          <w:bCs/>
        </w:rPr>
        <w:t>գնման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ընթացակարգը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չկայացած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հայտարարելու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մասին</w:t>
      </w:r>
      <w:proofErr w:type="spellEnd"/>
      <w:r>
        <w:t xml:space="preserve"> </w:t>
      </w:r>
    </w:p>
    <w:p w14:paraId="3DF63B28" w14:textId="77777777" w:rsidR="00000000" w:rsidRDefault="00000000">
      <w:pPr>
        <w:pStyle w:val="NormalWeb"/>
        <w:jc w:val="center"/>
      </w:pPr>
      <w:proofErr w:type="spellStart"/>
      <w:r>
        <w:t>Ընթացակարգի</w:t>
      </w:r>
      <w:proofErr w:type="spellEnd"/>
      <w:r>
        <w:t xml:space="preserve"> </w:t>
      </w:r>
      <w:proofErr w:type="spellStart"/>
      <w:r>
        <w:t>ծածկագիրը</w:t>
      </w:r>
      <w:proofErr w:type="spellEnd"/>
      <w:r>
        <w:t xml:space="preserve"> ՊՊԾ-ԷԱՃԱՊՁԲ-2025/1</w:t>
      </w:r>
    </w:p>
    <w:p w14:paraId="2A485263" w14:textId="77777777" w:rsidR="00000000" w:rsidRDefault="00000000">
      <w:pPr>
        <w:pStyle w:val="NormalWeb"/>
        <w:jc w:val="both"/>
      </w:pPr>
      <w:r>
        <w:t xml:space="preserve">ՀՀ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պահպանության</w:t>
      </w:r>
      <w:proofErr w:type="spellEnd"/>
      <w:r>
        <w:t xml:space="preserve"> </w:t>
      </w:r>
      <w:proofErr w:type="spellStart"/>
      <w:r>
        <w:t>ծառայության</w:t>
      </w:r>
      <w:proofErr w:type="spellEnd"/>
      <w:r>
        <w:t xml:space="preserve"> </w:t>
      </w:r>
      <w:proofErr w:type="spellStart"/>
      <w:r>
        <w:t>ստորև</w:t>
      </w:r>
      <w:proofErr w:type="spellEnd"/>
      <w:r>
        <w:t xml:space="preserve"> </w:t>
      </w:r>
      <w:proofErr w:type="spellStart"/>
      <w:r>
        <w:t>ներկայացնում</w:t>
      </w:r>
      <w:proofErr w:type="spellEnd"/>
      <w:r>
        <w:t xml:space="preserve"> է </w:t>
      </w:r>
      <w:proofErr w:type="spellStart"/>
      <w:r>
        <w:t>իր</w:t>
      </w:r>
      <w:proofErr w:type="spellEnd"/>
      <w:r>
        <w:t xml:space="preserve"> </w:t>
      </w:r>
      <w:proofErr w:type="spellStart"/>
      <w:proofErr w:type="gramStart"/>
      <w:r>
        <w:t>կարիքների</w:t>
      </w:r>
      <w:proofErr w:type="spellEnd"/>
      <w:r>
        <w:t xml:space="preserve">  </w:t>
      </w:r>
      <w:proofErr w:type="spellStart"/>
      <w:r>
        <w:t>համար</w:t>
      </w:r>
      <w:proofErr w:type="spellEnd"/>
      <w:proofErr w:type="gramEnd"/>
      <w:r>
        <w:t xml:space="preserve"> </w:t>
      </w:r>
      <w:r>
        <w:rPr>
          <w:lang w:val="hy-AM"/>
        </w:rPr>
        <w:t xml:space="preserve">համազգեստի </w:t>
      </w:r>
      <w:proofErr w:type="spellStart"/>
      <w:r>
        <w:t>ձեռքբերման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</w:t>
      </w:r>
      <w:proofErr w:type="spellStart"/>
      <w:r>
        <w:t>կազմակերպված</w:t>
      </w:r>
      <w:proofErr w:type="spellEnd"/>
      <w:r>
        <w:t xml:space="preserve"> ՊՊԾ-ԷԱՃԱՊՁԲ-2025/1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գնման</w:t>
      </w:r>
      <w:proofErr w:type="spellEnd"/>
      <w:r>
        <w:t xml:space="preserve"> </w:t>
      </w:r>
      <w:proofErr w:type="spellStart"/>
      <w:r>
        <w:t>ընթացակարգը</w:t>
      </w:r>
      <w:proofErr w:type="spellEnd"/>
      <w:r>
        <w:t xml:space="preserve"> </w:t>
      </w:r>
      <w:proofErr w:type="spellStart"/>
      <w:r>
        <w:t>չկայացած</w:t>
      </w:r>
      <w:proofErr w:type="spellEnd"/>
      <w:r>
        <w:t xml:space="preserve"> </w:t>
      </w:r>
      <w:proofErr w:type="spellStart"/>
      <w:r>
        <w:t>հայտարարելու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տեղեկատվությունը</w:t>
      </w:r>
      <w:proofErr w:type="spellEnd"/>
      <w:r>
        <w:t xml:space="preserve">` </w:t>
      </w:r>
    </w:p>
    <w:tbl>
      <w:tblPr>
        <w:tblW w:w="56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0"/>
        <w:gridCol w:w="2477"/>
        <w:gridCol w:w="2498"/>
        <w:gridCol w:w="2269"/>
        <w:gridCol w:w="1880"/>
      </w:tblGrid>
      <w:tr w:rsidR="00000000" w14:paraId="7C24873A" w14:textId="77777777">
        <w:trPr>
          <w:divId w:val="761530230"/>
          <w:trHeight w:val="1662"/>
        </w:trPr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D662C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Չափաբաժնի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58764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առարկայի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նկարագրություն</w:t>
            </w:r>
            <w:proofErr w:type="spellEnd"/>
          </w:p>
        </w:tc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7E643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ընթացակարգի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անվանումները`այդպիսիք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լինելու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դեպքում</w:t>
            </w:r>
            <w:proofErr w:type="spellEnd"/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97781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ընթացակարգը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չկայացած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հայտարարվել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համաձայն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`”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Գնումների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մասին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օրենքի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37-րդ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հոդվածի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1-ին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մասի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A3733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ընթացակարգը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չկայացած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հայտարարելու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հիմնավորման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տեղեկատվություն</w:t>
            </w:r>
            <w:proofErr w:type="spellEnd"/>
          </w:p>
        </w:tc>
      </w:tr>
      <w:tr w:rsidR="00000000" w14:paraId="2215197D" w14:textId="77777777">
        <w:trPr>
          <w:divId w:val="7615302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4A4E6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6C387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Ձմեռային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կոստյում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արհեստական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մորթե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օձիքով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կոմուֆլյաժ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գործվածքից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Պետք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արտադրվի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35%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բամբակ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65%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պոլիէսթեր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բաղադրությամբ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թվային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գունավորմամբ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ռիբստոպ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տեսակի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գործվածքից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210 գ/մ2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/21× 21/, /108 × 58/, 2.5 սմ2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գծային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150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ռեակտիվ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ռեակտիվ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թվային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տպագրված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ջրայուղաանդրադարձնող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ներծծմամբ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Ներկի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կայունությունը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ըստ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հետևյալ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ցուցանիշների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լվացում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4-5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աստիճան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քրտինք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4-5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աստիճան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աստիճան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չոր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շփում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4-5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աստիճան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թաց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շփում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3-4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աստիճան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Ձմեռային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կոստյումը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բաղկացած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տաբատից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երեսացուն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թվային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գունավորմամբ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ռիբստոպ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տեսակի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210 գ/մ2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35%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բամբակ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65%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պոլիէսթեր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բաղադրությամբ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գործվածքից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մգդակարված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գրամ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սինտեպոնով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(2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սմ)։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Աստառացուն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70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գրամ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արհեստական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գործվածքից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կենտրոնական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շղթայով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մինչև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օձիքի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վերջը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օձիքի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մեջտեղում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8-9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եզրերում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10-11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Օձիքի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միացման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կախիչ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Առաջամասում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չորս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երկուսը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վրադիր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երկուսը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որոնցից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երկուսը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կրծքամասում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իսկ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երկուսը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կողային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մասերում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Կափույրների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ներքին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թեք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Կրծքամասի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14-15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երկարությունը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15-17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կափույրի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միասին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կափույրի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տեղակայված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կենտրոնական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ուղղահայաց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շղթայից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ձախ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առնվազն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հեռավորության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աստառի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ձախ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կրծքամասում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ծոցագրպան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կպչուն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ժապավենով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ուսագոտիների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ծալված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ծալման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պատրաստի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վիճակում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Գոտկատեղում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2,5-3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էլաստիկ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ժապավեններ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իրանի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կարգավորման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Թիկունքամասի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4,5սմ-ով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ավելին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քան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առաջամասի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բարձրությունը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հաշվարկված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ուսակարերից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ամրանում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օղակ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կոճակների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միջոցով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երկգլխանի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շղթայով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(8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) և 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տրամագծով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պլաստմասե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կոճակ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օղակներով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մգդակարված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գրամ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սինտեպոնով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(2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սմ)։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թևքերի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ներքևի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ծալված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ներքևի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ծալման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իսկ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թևքերինը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0,5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լանջափեշի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կողմում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ծոցագրպան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օղակով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կոճակով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կպչուն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ժապավենով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Ուսերի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տեղադրված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ուսադիրներ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ախլակների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նույն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գործվածքից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ախլակները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տրամագծով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պլաստմասե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կոճակ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օղակով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առաջամասում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վրադիր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կափույրներով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որոնցից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եկուսը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կրծքամասում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երկուսը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կողային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հատվածում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Կրծքամասի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վրադիր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կափույրների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երկարությունը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կափույրի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կենտրոնակա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ամենաերկար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հատվածը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8,5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իսկ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կողային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հատվածները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5,5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Կրծքամասի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երկարությունը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13սմ է։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Կրծքամասի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տրամագծով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պլաստմասե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մեկական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կոճակով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որոնք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տեղադրված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կափույրի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կենտրոնական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հատվածի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ներքևի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Կողային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երկարությունը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15-16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ուսերի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գլխանոց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վերևի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ամենաերկար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հատվածը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Գլխանոցի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երեսացուն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թվային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գունավորմամբ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ռիբստոպ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տեսակի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210 գ/մ2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35%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բամբակ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65%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պոլիէսթեր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բաղադրությամբ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գործվածքից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Գլխանոցի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ուսերի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միացման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մինչև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կենտրոնական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ուղղահայաց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Գլխանոցի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կենտրոնում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զարդակար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ամրացված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կպչուն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ժապավենով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չափսերի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կարգավորիչ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Գլխանոցի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հատվածում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2սմ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գոտի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եզրաշերտ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/,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մեջը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գոտկանման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պարան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գլխանոցի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չափսերի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կարգավորման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թևքերի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ներքևի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երկարության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լեզվակներ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կտրված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անկյուններով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որոնք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բազկակալում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կպչուն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ժապավենով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ձախ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թևքի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ուսակարից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հեռավորության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կպչուն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ժապավենի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փափուկ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հատվածը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երկարությամբ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10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լայնությամբ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Բաճկոնի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գլխանոցի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աստառացուն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70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գրամ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100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պոլիէսթեր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արհեստական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կտորից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Տաբատը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գոտիով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զարդակարված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շեղանկյուն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ձևով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Առաջամասը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կողքի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թեք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կտրված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գրպաններով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Գոտու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տեղադրված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առնվազն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կամրջակեր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գոտու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կարգավորող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ախլակներ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կամրջակներից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մեկը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պետք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գտնվի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գոտկատեղի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հետնամասի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Ախլակները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օղակով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տրամագծով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կոճակով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Առաջամասում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ծնկակալներ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Տաբատը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գաղտնի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կոճկվածքով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 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գուֆիկով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առնվազն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տրամագծով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օղակ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կոճակներով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երկուսը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գոտու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շղթայով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)։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Տաբատի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ներքնամասում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կապվում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կապիչներով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Տաբատի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ներդիրը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մշակվում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200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գրամ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խտությամբ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սինտեպոնով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մգդակարված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աստառացուի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ներքին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բարձրության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Փաթեթավորումը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հակերով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հակի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երկու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լրակազմ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տեսականին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պոլիէթիլենային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թափանցիկ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պարկերով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պարկի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մեկ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լրակազմ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Հակերը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պիտակավորված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պիտակների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վրա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պետք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նշված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լինի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տեսականու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անվանումը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քանակը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չափսերը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արտադրող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կազմակերպության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անվանումը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արտադրման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ամիսն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տարեթիվը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պայմանի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համարը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Մատակարար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կազմակերպությունը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պետք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պատասխանատու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ստորաբաժանմանը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ներկայացնի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կտորի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բաղադրության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ներկի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կայունության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մակերեսային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խտության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` ՀՀ–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հավատարմագրված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կազմակերպության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կողմից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լաբորատոր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հետազոտության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եզրակացություն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Փորձաքննության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դրական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արդյունքներից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հետո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ներկայացնել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նմուշ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հաստատելու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համապատասխան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ստորաբաժանմանը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։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Պատվիրատուն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իրավունք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ունի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յուրաքանչյուր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մատակարարված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խմբաքանակից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կատարել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նմուշառու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ուղարկել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փորձաքննության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։</w:t>
            </w:r>
          </w:p>
        </w:tc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7DFD2" w14:textId="77777777" w:rsidR="00000000" w:rsidRDefault="00000000">
            <w:pPr>
              <w:jc w:val="center"/>
              <w:divId w:val="138766348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Վինդորան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ՍՊԸ</w:t>
            </w:r>
          </w:p>
          <w:p w14:paraId="0A324399" w14:textId="77777777" w:rsidR="00000000" w:rsidRDefault="00000000">
            <w:pPr>
              <w:jc w:val="center"/>
              <w:divId w:val="138766348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Արմինե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Հովսեփյան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Էլբեկի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 Ա/Ձ</w:t>
            </w:r>
          </w:p>
          <w:p w14:paraId="455802EC" w14:textId="77777777" w:rsidR="00000000" w:rsidRDefault="00000000">
            <w:pPr>
              <w:jc w:val="center"/>
              <w:divId w:val="138766348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ԱՐԼԻՎԱՉ ՍՊԸ</w:t>
            </w:r>
          </w:p>
          <w:p w14:paraId="5C74F65E" w14:textId="77777777" w:rsidR="00000000" w:rsidRDefault="00000000">
            <w:pPr>
              <w:jc w:val="center"/>
              <w:divId w:val="138766348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Քանաքեռի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կարի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ֆաբրիկա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ՍՊԸ</w:t>
            </w:r>
          </w:p>
          <w:p w14:paraId="0E1C5DCD" w14:textId="77777777" w:rsidR="00000000" w:rsidRDefault="00000000">
            <w:pPr>
              <w:jc w:val="center"/>
              <w:divId w:val="138766348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Տեքսուորլդ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ՍՊԸ</w:t>
            </w:r>
          </w:p>
          <w:p w14:paraId="7147394B" w14:textId="77777777" w:rsidR="00000000" w:rsidRDefault="00000000">
            <w:pPr>
              <w:jc w:val="center"/>
              <w:divId w:val="138766348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Լենտեքս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ՍՊԸ</w:t>
            </w:r>
          </w:p>
          <w:p w14:paraId="546DD873" w14:textId="77777777" w:rsidR="00000000" w:rsidRDefault="00000000">
            <w:pPr>
              <w:jc w:val="center"/>
              <w:divId w:val="138766348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ԳԱՐԱՆՏ 24 ՍՊԸ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58454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4-րդ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2481B" w14:textId="77777777" w:rsidR="00000000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y-AM"/>
              </w:rPr>
              <w:t>Վինդորան ՍՊԸ-ն գնումների մասին ՀՀ օրենսդրությամբ սահմանված ժամկետում /ս․թ․ դեկտեմբերի 19-ը ներառյալ/ չի ներկայացրել ստորագրված պայմանագիրը և որակավորման ու պայմանագրի ապահովումները</w:t>
            </w:r>
          </w:p>
        </w:tc>
      </w:tr>
    </w:tbl>
    <w:p w14:paraId="1E7F969F" w14:textId="77777777" w:rsidR="00000000" w:rsidRDefault="00000000">
      <w:pPr>
        <w:pStyle w:val="NormalWeb"/>
        <w:jc w:val="both"/>
      </w:pPr>
      <w:proofErr w:type="spellStart"/>
      <w:r>
        <w:lastRenderedPageBreak/>
        <w:t>Սույն</w:t>
      </w:r>
      <w:proofErr w:type="spellEnd"/>
      <w:r>
        <w:t xml:space="preserve"> </w:t>
      </w:r>
      <w:proofErr w:type="spellStart"/>
      <w:r>
        <w:t>հայտարարության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կապված</w:t>
      </w:r>
      <w:proofErr w:type="spellEnd"/>
      <w:r>
        <w:t xml:space="preserve"> </w:t>
      </w:r>
      <w:proofErr w:type="spellStart"/>
      <w:r>
        <w:t>լրացուցիչ</w:t>
      </w:r>
      <w:proofErr w:type="spellEnd"/>
      <w:r>
        <w:t xml:space="preserve"> </w:t>
      </w:r>
      <w:proofErr w:type="spellStart"/>
      <w:r>
        <w:t>տեղեկություններ</w:t>
      </w:r>
      <w:proofErr w:type="spellEnd"/>
      <w:r>
        <w:t xml:space="preserve"> </w:t>
      </w:r>
      <w:proofErr w:type="spellStart"/>
      <w:r>
        <w:t>ստանալու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կարող</w:t>
      </w:r>
      <w:proofErr w:type="spellEnd"/>
      <w:r>
        <w:t xml:space="preserve"> </w:t>
      </w:r>
      <w:proofErr w:type="spellStart"/>
      <w:r>
        <w:t>եք</w:t>
      </w:r>
      <w:proofErr w:type="spellEnd"/>
      <w:r>
        <w:t xml:space="preserve"> </w:t>
      </w:r>
      <w:proofErr w:type="spellStart"/>
      <w:r>
        <w:t>դիմել</w:t>
      </w:r>
      <w:proofErr w:type="spellEnd"/>
      <w:r>
        <w:t xml:space="preserve"> ՊՊԾ-ԷԱՃԱՊՁԲ-2025/1 </w:t>
      </w:r>
      <w:proofErr w:type="spellStart"/>
      <w:r>
        <w:t>ծածկագրով</w:t>
      </w:r>
      <w:proofErr w:type="spellEnd"/>
      <w:r>
        <w:t xml:space="preserve"> </w:t>
      </w:r>
      <w:proofErr w:type="spellStart"/>
      <w:r>
        <w:t>գնումների</w:t>
      </w:r>
      <w:proofErr w:type="spellEnd"/>
      <w:r>
        <w:t xml:space="preserve"> </w:t>
      </w:r>
      <w:proofErr w:type="spellStart"/>
      <w:r>
        <w:t>համակարգող</w:t>
      </w:r>
      <w:proofErr w:type="spellEnd"/>
      <w:r>
        <w:t xml:space="preserve"> </w:t>
      </w:r>
      <w:proofErr w:type="spellStart"/>
      <w:r>
        <w:t>Խուրշուդյան</w:t>
      </w:r>
      <w:proofErr w:type="spellEnd"/>
      <w:r>
        <w:t xml:space="preserve"> </w:t>
      </w:r>
      <w:proofErr w:type="spellStart"/>
      <w:r>
        <w:t>Սյուզաննա-ին</w:t>
      </w:r>
      <w:proofErr w:type="spellEnd"/>
      <w:r>
        <w:t>:</w:t>
      </w:r>
    </w:p>
    <w:p w14:paraId="1FC20CCF" w14:textId="77777777" w:rsidR="00000000" w:rsidRDefault="00000000">
      <w:pPr>
        <w:pStyle w:val="NormalWeb"/>
        <w:divId w:val="1417289729"/>
      </w:pPr>
      <w:proofErr w:type="spellStart"/>
      <w:r>
        <w:t>Հեռախոս</w:t>
      </w:r>
      <w:proofErr w:type="spellEnd"/>
      <w:r>
        <w:t xml:space="preserve">՝ </w:t>
      </w:r>
    </w:p>
    <w:p w14:paraId="727219C4" w14:textId="77777777" w:rsidR="00000000" w:rsidRDefault="00000000">
      <w:pPr>
        <w:pStyle w:val="NormalWeb"/>
        <w:divId w:val="1297956534"/>
      </w:pPr>
      <w:proofErr w:type="spellStart"/>
      <w:r>
        <w:t>Էլեկոտրանային</w:t>
      </w:r>
      <w:proofErr w:type="spellEnd"/>
      <w:r>
        <w:t xml:space="preserve"> </w:t>
      </w:r>
      <w:proofErr w:type="spellStart"/>
      <w:r>
        <w:t>փոստ</w:t>
      </w:r>
      <w:proofErr w:type="spellEnd"/>
      <w:r>
        <w:t xml:space="preserve">՝ x_syuzi.91@mail.ru </w:t>
      </w:r>
    </w:p>
    <w:p w14:paraId="1E5379BA" w14:textId="77777777" w:rsidR="003652C9" w:rsidRDefault="00000000">
      <w:pPr>
        <w:pStyle w:val="NormalWeb"/>
        <w:divId w:val="1488207559"/>
      </w:pPr>
      <w:proofErr w:type="spellStart"/>
      <w:r>
        <w:t>Պատվիրատու</w:t>
      </w:r>
      <w:proofErr w:type="spellEnd"/>
      <w:r>
        <w:t xml:space="preserve">` ՀՀ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պահպանության</w:t>
      </w:r>
      <w:proofErr w:type="spellEnd"/>
      <w:r>
        <w:t xml:space="preserve"> </w:t>
      </w:r>
      <w:proofErr w:type="spellStart"/>
      <w:r>
        <w:t>ծառայություն</w:t>
      </w:r>
      <w:proofErr w:type="spellEnd"/>
    </w:p>
    <w:sectPr w:rsidR="0036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D5"/>
    <w:rsid w:val="003652C9"/>
    <w:rsid w:val="00703479"/>
    <w:rsid w:val="008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ED3CF"/>
  <w15:chartTrackingRefBased/>
  <w15:docId w15:val="{AA524A0E-5433-4A95-9C92-E8047C07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Normal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Normal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Normal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Normal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5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USER</dc:creator>
  <cp:keywords/>
  <dc:description/>
  <cp:lastModifiedBy>Karen Gasparyan</cp:lastModifiedBy>
  <cp:revision>2</cp:revision>
  <dcterms:created xsi:type="dcterms:W3CDTF">2024-12-26T08:49:00Z</dcterms:created>
  <dcterms:modified xsi:type="dcterms:W3CDTF">2024-12-26T08:49:00Z</dcterms:modified>
</cp:coreProperties>
</file>