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6479" w14:textId="28DCC819" w:rsidR="00E72BE3" w:rsidRPr="009C61B6" w:rsidRDefault="00E72BE3" w:rsidP="00E72B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GENERAL PROCUREMENT NOTICE</w:t>
      </w:r>
    </w:p>
    <w:p w14:paraId="2BAA0317" w14:textId="77777777" w:rsidR="00322293" w:rsidRPr="009C61B6" w:rsidRDefault="00FD3D72" w:rsidP="006347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455316" w14:textId="77777777" w:rsidR="00A51477" w:rsidRPr="009C61B6" w:rsidRDefault="00A514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DD0CC8" w14:textId="77777777" w:rsidR="004D359F" w:rsidRPr="009C61B6" w:rsidRDefault="004D359F" w:rsidP="004D359F">
      <w:pPr>
        <w:suppressAutoHyphens/>
        <w:rPr>
          <w:rFonts w:ascii="Times New Roman" w:hAnsi="Times New Roman" w:cs="Times New Roman"/>
          <w:b/>
          <w:spacing w:val="-2"/>
          <w:sz w:val="24"/>
        </w:rPr>
      </w:pPr>
      <w:r w:rsidRPr="009C61B6">
        <w:rPr>
          <w:rFonts w:ascii="Times New Roman" w:hAnsi="Times New Roman" w:cs="Times New Roman"/>
          <w:b/>
          <w:spacing w:val="-2"/>
          <w:sz w:val="24"/>
        </w:rPr>
        <w:t>Armenia “ELECRONIC LABOUR EXCHANGE”</w:t>
      </w:r>
    </w:p>
    <w:p w14:paraId="6FA13187" w14:textId="77777777" w:rsidR="00683057" w:rsidRPr="009C61B6" w:rsidRDefault="00683057" w:rsidP="009354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1D4295" w14:textId="4769C98F" w:rsidR="00683057" w:rsidRPr="009C61B6" w:rsidRDefault="00683057" w:rsidP="006830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The Republic of Armenia has received </w:t>
      </w:r>
      <w:r w:rsidR="00AC4AB7" w:rsidRPr="009C61B6">
        <w:rPr>
          <w:rFonts w:ascii="Times New Roman" w:hAnsi="Times New Roman" w:cs="Times New Roman"/>
          <w:sz w:val="24"/>
          <w:szCs w:val="24"/>
          <w:lang w:val="en-US"/>
        </w:rPr>
        <w:t>financing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Eurasian Fund for Stabilization and Development (hereinafter - EFSD)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in the amount of </w:t>
      </w:r>
      <w:r w:rsidR="006D0564" w:rsidRPr="009C6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518,000 </w:t>
      </w: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D0564" w:rsidRPr="009C61B6">
        <w:rPr>
          <w:rFonts w:ascii="Times New Roman" w:hAnsi="Times New Roman" w:cs="Times New Roman"/>
          <w:b/>
          <w:sz w:val="24"/>
          <w:szCs w:val="24"/>
          <w:lang w:val="en-US"/>
        </w:rPr>
        <w:t>five hundred eighteen thousand</w:t>
      </w: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US dollars to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>ward the cost of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the project </w:t>
      </w: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"E</w:t>
      </w:r>
      <w:r w:rsidR="006D0564" w:rsidRPr="009C61B6">
        <w:rPr>
          <w:rFonts w:ascii="Times New Roman" w:hAnsi="Times New Roman" w:cs="Times New Roman"/>
          <w:b/>
          <w:sz w:val="24"/>
          <w:szCs w:val="24"/>
          <w:lang w:val="en-US"/>
        </w:rPr>
        <w:t>lectronic Labor Exchange</w:t>
      </w: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(hereinafter - Project) and intends to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apply part of the proceeds </w:t>
      </w:r>
      <w:r w:rsidR="00AC4AB7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of the above Grant 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4AB7" w:rsidRPr="009C61B6">
        <w:rPr>
          <w:rFonts w:ascii="Times New Roman" w:hAnsi="Times New Roman" w:cs="Times New Roman"/>
          <w:sz w:val="24"/>
          <w:szCs w:val="24"/>
          <w:lang w:val="en-US"/>
        </w:rPr>
        <w:t>wards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payments for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works and related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consulting services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to be p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>rocured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>this p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roject. </w:t>
      </w:r>
    </w:p>
    <w:p w14:paraId="0BB80400" w14:textId="77777777" w:rsidR="00350A17" w:rsidRPr="009C61B6" w:rsidRDefault="00350A17" w:rsidP="00EE1102">
      <w:pPr>
        <w:tabs>
          <w:tab w:val="left" w:pos="709"/>
          <w:tab w:val="left" w:pos="8662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9C61B6">
        <w:rPr>
          <w:rFonts w:ascii="Times New Roman" w:hAnsi="Times New Roman" w:cs="Times New Roman"/>
          <w:spacing w:val="-2"/>
          <w:sz w:val="24"/>
        </w:rPr>
        <w:t xml:space="preserve">The project will include the following components </w:t>
      </w:r>
    </w:p>
    <w:p w14:paraId="3C77C1A6" w14:textId="0775A21C" w:rsidR="00EE1102" w:rsidRPr="009C61B6" w:rsidRDefault="00683057" w:rsidP="00EE1102">
      <w:pPr>
        <w:tabs>
          <w:tab w:val="left" w:pos="709"/>
          <w:tab w:val="left" w:pos="866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Component 1. </w:t>
      </w:r>
      <w:r w:rsidR="00D7766C" w:rsidRPr="009C6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Design, development and input of </w:t>
      </w:r>
      <w:r w:rsidR="00D7766C" w:rsidRPr="009C61B6">
        <w:rPr>
          <w:rFonts w:ascii="Times New Roman" w:hAnsi="Times New Roman" w:cs="Times New Roman"/>
          <w:b/>
          <w:sz w:val="24"/>
          <w:szCs w:val="24"/>
          <w:lang w:val="en-US"/>
        </w:rPr>
        <w:t>Electronic Labor Exchange</w:t>
      </w:r>
      <w:r w:rsidR="00A712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E1102" w:rsidRPr="009C61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8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84"/>
      </w:tblGrid>
      <w:tr w:rsidR="00EE1102" w:rsidRPr="009C61B6" w14:paraId="5C9857A4" w14:textId="77777777" w:rsidTr="00EE1102">
        <w:trPr>
          <w:trHeight w:val="600"/>
        </w:trPr>
        <w:tc>
          <w:tcPr>
            <w:tcW w:w="428" w:type="dxa"/>
            <w:vAlign w:val="center"/>
          </w:tcPr>
          <w:p w14:paraId="152D1904" w14:textId="77777777" w:rsidR="00EE1102" w:rsidRPr="009C61B6" w:rsidRDefault="00EE1102" w:rsidP="0055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7E255915" w14:textId="215C63DA" w:rsidR="00EE1102" w:rsidRPr="009C61B6" w:rsidRDefault="00D7766C" w:rsidP="00D7766C">
            <w:pPr>
              <w:pStyle w:val="BodyText"/>
              <w:spacing w:line="278" w:lineRule="auto"/>
              <w:ind w:right="569"/>
              <w:rPr>
                <w:rFonts w:ascii="Times New Roman" w:hAnsi="Times New Roman"/>
              </w:rPr>
            </w:pPr>
            <w:r w:rsidRPr="009C61B6">
              <w:rPr>
                <w:rFonts w:ascii="Times New Roman" w:hAnsi="Times New Roman"/>
              </w:rPr>
              <w:t>Finalizing the T</w:t>
            </w:r>
            <w:r w:rsidR="00913E26" w:rsidRPr="009C61B6">
              <w:rPr>
                <w:rFonts w:ascii="Times New Roman" w:hAnsi="Times New Roman"/>
              </w:rPr>
              <w:t>erms of R</w:t>
            </w:r>
            <w:r w:rsidRPr="009C61B6">
              <w:rPr>
                <w:rFonts w:ascii="Times New Roman" w:hAnsi="Times New Roman"/>
              </w:rPr>
              <w:t xml:space="preserve">eference for the creation of a unified state online platform “Electronic </w:t>
            </w:r>
            <w:r w:rsidR="00A71211" w:rsidRPr="009C61B6">
              <w:rPr>
                <w:rFonts w:ascii="Times New Roman" w:hAnsi="Times New Roman"/>
              </w:rPr>
              <w:t>Labo</w:t>
            </w:r>
            <w:r w:rsidR="00A71211" w:rsidRPr="009C61B6">
              <w:rPr>
                <w:rFonts w:ascii="Times New Roman" w:eastAsiaTheme="minorEastAsia" w:hAnsi="Times New Roman"/>
                <w:lang w:eastAsia="zh-CN"/>
              </w:rPr>
              <w:t>r</w:t>
            </w:r>
            <w:r w:rsidRPr="009C61B6">
              <w:rPr>
                <w:rFonts w:ascii="Times New Roman" w:hAnsi="Times New Roman"/>
              </w:rPr>
              <w:t xml:space="preserve"> Exchange”</w:t>
            </w:r>
            <w:r w:rsidR="00A71211">
              <w:rPr>
                <w:rFonts w:ascii="Times New Roman" w:hAnsi="Times New Roman"/>
              </w:rPr>
              <w:t>.</w:t>
            </w:r>
            <w:r w:rsidRPr="009C61B6">
              <w:rPr>
                <w:rFonts w:ascii="Times New Roman" w:hAnsi="Times New Roman"/>
              </w:rPr>
              <w:t xml:space="preserve"> </w:t>
            </w:r>
          </w:p>
        </w:tc>
      </w:tr>
      <w:tr w:rsidR="00EE1102" w:rsidRPr="009C61B6" w14:paraId="2D6CB677" w14:textId="77777777" w:rsidTr="00EE1102">
        <w:trPr>
          <w:trHeight w:val="540"/>
        </w:trPr>
        <w:tc>
          <w:tcPr>
            <w:tcW w:w="428" w:type="dxa"/>
            <w:vAlign w:val="center"/>
          </w:tcPr>
          <w:p w14:paraId="5B671D65" w14:textId="77777777" w:rsidR="00EE1102" w:rsidRPr="009C61B6" w:rsidRDefault="00EE1102" w:rsidP="0055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4" w:type="dxa"/>
            <w:shd w:val="clear" w:color="auto" w:fill="auto"/>
            <w:vAlign w:val="center"/>
            <w:hideMark/>
          </w:tcPr>
          <w:p w14:paraId="1DDF9E56" w14:textId="6B22D0A3" w:rsidR="00EE1102" w:rsidRPr="009C61B6" w:rsidRDefault="00D7766C" w:rsidP="00D7766C">
            <w:pPr>
              <w:pStyle w:val="BodyText"/>
              <w:spacing w:line="278" w:lineRule="auto"/>
              <w:ind w:right="569"/>
              <w:rPr>
                <w:rFonts w:ascii="Times New Roman" w:hAnsi="Times New Roman"/>
                <w:color w:val="000000"/>
                <w:szCs w:val="24"/>
              </w:rPr>
            </w:pPr>
            <w:r w:rsidRPr="009C61B6">
              <w:rPr>
                <w:rFonts w:ascii="Times New Roman" w:hAnsi="Times New Roman"/>
              </w:rPr>
              <w:t xml:space="preserve">Development, testing, installation and input of state platform </w:t>
            </w:r>
            <w:r w:rsidRPr="009C61B6">
              <w:rPr>
                <w:rFonts w:ascii="Times New Roman" w:hAnsi="Times New Roman"/>
              </w:rPr>
              <w:t>“Electronic Labour Exchange”</w:t>
            </w:r>
            <w:r w:rsidRPr="009C61B6">
              <w:rPr>
                <w:rFonts w:ascii="Times New Roman" w:hAnsi="Times New Roman"/>
              </w:rPr>
              <w:t xml:space="preserve"> available for job seekers and employers.</w:t>
            </w:r>
          </w:p>
        </w:tc>
      </w:tr>
    </w:tbl>
    <w:p w14:paraId="0A649C07" w14:textId="77777777" w:rsidR="00EE1102" w:rsidRPr="009C61B6" w:rsidRDefault="00EE1102" w:rsidP="008D1F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0F2345" w14:textId="79507E92" w:rsidR="00EE1102" w:rsidRPr="009C61B6" w:rsidRDefault="00683057" w:rsidP="00913E26">
      <w:pPr>
        <w:tabs>
          <w:tab w:val="left" w:pos="709"/>
          <w:tab w:val="left" w:pos="866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Component 2. </w:t>
      </w:r>
      <w:r w:rsidR="00913E26" w:rsidRPr="009C61B6">
        <w:rPr>
          <w:rFonts w:ascii="Times New Roman" w:hAnsi="Times New Roman" w:cs="Times New Roman"/>
          <w:b/>
          <w:sz w:val="24"/>
          <w:szCs w:val="24"/>
          <w:lang w:val="en-US"/>
        </w:rPr>
        <w:t>Provision of technical means</w:t>
      </w:r>
    </w:p>
    <w:tbl>
      <w:tblPr>
        <w:tblW w:w="7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505"/>
      </w:tblGrid>
      <w:tr w:rsidR="00EE1102" w:rsidRPr="009C61B6" w14:paraId="68F18235" w14:textId="77777777" w:rsidTr="00EE1102">
        <w:trPr>
          <w:trHeight w:val="593"/>
        </w:trPr>
        <w:tc>
          <w:tcPr>
            <w:tcW w:w="428" w:type="dxa"/>
            <w:vAlign w:val="center"/>
          </w:tcPr>
          <w:p w14:paraId="6A8C1FFE" w14:textId="77777777" w:rsidR="00EE1102" w:rsidRPr="009C61B6" w:rsidRDefault="00EE1102" w:rsidP="0055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CB43236" w14:textId="4D364DAC" w:rsidR="00EE1102" w:rsidRPr="009C61B6" w:rsidRDefault="00913E26" w:rsidP="0055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9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Procurement and installations of technical means required for operation of </w:t>
            </w:r>
            <w:r w:rsidRPr="009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“Electronic </w:t>
            </w:r>
            <w:proofErr w:type="spellStart"/>
            <w:r w:rsidRPr="009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Labour</w:t>
            </w:r>
            <w:proofErr w:type="spellEnd"/>
            <w:r w:rsidRPr="009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Exchange”</w:t>
            </w:r>
            <w:r w:rsidRPr="009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2B39DD61" w14:textId="77777777" w:rsidR="00EE1102" w:rsidRPr="009C61B6" w:rsidRDefault="00EE1102" w:rsidP="00474B55">
      <w:pPr>
        <w:tabs>
          <w:tab w:val="left" w:pos="-3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EEA329" w14:textId="77777777" w:rsidR="00EE1102" w:rsidRPr="009C61B6" w:rsidRDefault="00EE1102" w:rsidP="00EE1102">
      <w:pPr>
        <w:tabs>
          <w:tab w:val="left" w:pos="-30"/>
        </w:tabs>
        <w:spacing w:after="0" w:line="276" w:lineRule="auto"/>
        <w:ind w:left="-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EEBB7C" w14:textId="5B9932DC" w:rsidR="00EE1102" w:rsidRPr="009C61B6" w:rsidRDefault="00683057" w:rsidP="00EE1102">
      <w:pPr>
        <w:tabs>
          <w:tab w:val="left" w:pos="-30"/>
        </w:tabs>
        <w:spacing w:after="0" w:line="276" w:lineRule="auto"/>
        <w:ind w:left="-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b/>
          <w:bCs/>
          <w:sz w:val="24"/>
          <w:szCs w:val="24"/>
        </w:rPr>
        <w:t>Component 3. P</w:t>
      </w:r>
      <w:proofErr w:type="spellStart"/>
      <w:r w:rsidR="00D259D0"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>ublic</w:t>
      </w:r>
      <w:proofErr w:type="spellEnd"/>
      <w:r w:rsidR="00D259D0"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awareness about </w:t>
      </w:r>
      <w:r w:rsidR="00D259D0"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“Electronic </w:t>
      </w:r>
      <w:r w:rsidR="00A71211"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Labor</w:t>
      </w:r>
      <w:r w:rsidR="00D259D0"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Exchange”</w:t>
      </w:r>
    </w:p>
    <w:p w14:paraId="209B677B" w14:textId="77777777" w:rsidR="00EE1102" w:rsidRPr="009C61B6" w:rsidRDefault="00EE1102" w:rsidP="00EE1102">
      <w:pPr>
        <w:tabs>
          <w:tab w:val="left" w:pos="-3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05" w:tblpY="-29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478"/>
      </w:tblGrid>
      <w:tr w:rsidR="00EE1102" w:rsidRPr="009C61B6" w14:paraId="56563E4F" w14:textId="77777777" w:rsidTr="006C517D">
        <w:trPr>
          <w:trHeight w:val="286"/>
        </w:trPr>
        <w:tc>
          <w:tcPr>
            <w:tcW w:w="428" w:type="dxa"/>
            <w:vAlign w:val="center"/>
          </w:tcPr>
          <w:p w14:paraId="4C90082E" w14:textId="77777777" w:rsidR="00EE1102" w:rsidRPr="009C61B6" w:rsidRDefault="00EE1102" w:rsidP="006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14:paraId="4C96B72F" w14:textId="1C493EE7" w:rsidR="00EE1102" w:rsidRPr="009C61B6" w:rsidRDefault="00D259D0" w:rsidP="006C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61B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proofErr w:type="spellStart"/>
            <w:r w:rsidRPr="009C61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ublic</w:t>
            </w:r>
            <w:proofErr w:type="spellEnd"/>
            <w:r w:rsidRPr="009C61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awareness about “Electronic </w:t>
            </w:r>
            <w:r w:rsidR="00A71211" w:rsidRPr="009C61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</w:t>
            </w:r>
            <w:r w:rsidRPr="009C61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Exchange”</w:t>
            </w:r>
          </w:p>
        </w:tc>
      </w:tr>
    </w:tbl>
    <w:p w14:paraId="4FAFC560" w14:textId="77777777" w:rsidR="00EE1102" w:rsidRPr="009C61B6" w:rsidRDefault="00EE1102" w:rsidP="00916965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23CEA4" w14:textId="1FE8AC63" w:rsidR="00D259D0" w:rsidRPr="009C61B6" w:rsidRDefault="00D259D0" w:rsidP="00D259D0">
      <w:pPr>
        <w:tabs>
          <w:tab w:val="left" w:pos="-30"/>
        </w:tabs>
        <w:spacing w:after="0" w:line="276" w:lineRule="auto"/>
        <w:ind w:left="-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b/>
          <w:bCs/>
          <w:sz w:val="24"/>
          <w:szCs w:val="24"/>
        </w:rPr>
        <w:t xml:space="preserve">Component </w:t>
      </w:r>
      <w:r w:rsidRPr="009C61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61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2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 administration</w:t>
      </w:r>
      <w:r w:rsidRPr="009C61B6">
        <w:rPr>
          <w:rFonts w:ascii="Times New Roman" w:hAnsi="Times New Roman" w:cs="Times New Roman"/>
          <w:b/>
          <w:bCs/>
          <w:sz w:val="24"/>
          <w:szCs w:val="24"/>
          <w:lang w:val="en-US"/>
        </w:rPr>
        <w:t>. Operation of the PIG and expenses of audit</w:t>
      </w:r>
      <w:r w:rsidR="00A7121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bookmarkStart w:id="0" w:name="_GoBack"/>
      <w:bookmarkEnd w:id="0"/>
    </w:p>
    <w:p w14:paraId="7EBB36C0" w14:textId="77777777" w:rsidR="00D259D0" w:rsidRPr="009C61B6" w:rsidRDefault="00D259D0" w:rsidP="00D259D0">
      <w:pPr>
        <w:tabs>
          <w:tab w:val="left" w:pos="-3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05" w:tblpY="-29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478"/>
      </w:tblGrid>
      <w:tr w:rsidR="00D259D0" w:rsidRPr="009C61B6" w14:paraId="0454125F" w14:textId="77777777" w:rsidTr="00BA58B2">
        <w:trPr>
          <w:trHeight w:val="286"/>
        </w:trPr>
        <w:tc>
          <w:tcPr>
            <w:tcW w:w="428" w:type="dxa"/>
            <w:vAlign w:val="center"/>
          </w:tcPr>
          <w:p w14:paraId="6F306765" w14:textId="77777777" w:rsidR="00D259D0" w:rsidRPr="009C61B6" w:rsidRDefault="00D259D0" w:rsidP="00B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14:paraId="2EFB9371" w14:textId="22333F9B" w:rsidR="00D259D0" w:rsidRPr="009C61B6" w:rsidRDefault="00D259D0" w:rsidP="00B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61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Project financial audit</w:t>
            </w:r>
          </w:p>
        </w:tc>
      </w:tr>
    </w:tbl>
    <w:p w14:paraId="5EDCF561" w14:textId="77777777" w:rsidR="00683057" w:rsidRPr="009C61B6" w:rsidRDefault="00683057" w:rsidP="00EE1102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24177D" w14:textId="7E6054B3" w:rsidR="006F041E" w:rsidRPr="009C61B6" w:rsidRDefault="00350A17" w:rsidP="006F041E">
      <w:pPr>
        <w:tabs>
          <w:tab w:val="left" w:pos="3870"/>
        </w:tabs>
        <w:jc w:val="both"/>
        <w:rPr>
          <w:rFonts w:ascii="Times New Roman" w:hAnsi="Times New Roman" w:cs="Times New Roman"/>
          <w:lang w:val="en-US"/>
        </w:rPr>
      </w:pPr>
      <w:r w:rsidRPr="009C61B6">
        <w:rPr>
          <w:rFonts w:ascii="Times New Roman" w:hAnsi="Times New Roman" w:cs="Times New Roman"/>
          <w:sz w:val="24"/>
          <w:szCs w:val="24"/>
          <w:lang w:val="en-US"/>
        </w:rPr>
        <w:t>Procurement of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contracts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financed by the E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will be conducted </w:t>
      </w:r>
      <w:r w:rsidR="001D075D" w:rsidRPr="009C61B6">
        <w:rPr>
          <w:rFonts w:ascii="Times New Roman" w:hAnsi="Times New Roman" w:cs="Times New Roman"/>
          <w:sz w:val="24"/>
          <w:szCs w:val="24"/>
          <w:lang w:val="en-GB"/>
        </w:rPr>
        <w:t xml:space="preserve">as specified in the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>Procurement Policy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>for projects financed by  the EFSD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November 21, 2018) and the 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Procurement Procedures for projects financed by the EFSD (last approved  November 21, 2018),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>available on the E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D075D" w:rsidRPr="009C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D website </w:t>
      </w:r>
      <w:r w:rsidR="006F041E" w:rsidRPr="009C61B6">
        <w:rPr>
          <w:rFonts w:ascii="Times New Roman" w:hAnsi="Times New Roman" w:cs="Times New Roman"/>
          <w:color w:val="434D5A"/>
          <w:sz w:val="24"/>
          <w:szCs w:val="24"/>
          <w:shd w:val="clear" w:color="auto" w:fill="FFFFFF"/>
          <w:lang w:val="en-US"/>
        </w:rPr>
        <w:t>(</w:t>
      </w:r>
      <w:hyperlink r:id="rId8" w:history="1">
        <w:r w:rsidR="006F041E" w:rsidRPr="009C61B6">
          <w:rPr>
            <w:rStyle w:val="Hyperlink"/>
            <w:rFonts w:ascii="Times New Roman" w:hAnsi="Times New Roman" w:cs="Times New Roman"/>
            <w:color w:val="156494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https://efsd.eabr.org/about/documents/policies_and_procedures/)</w:t>
        </w:r>
      </w:hyperlink>
      <w:r w:rsidR="006F041E" w:rsidRPr="009C6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041E" w:rsidRPr="009C61B6">
        <w:rPr>
          <w:rFonts w:ascii="Times New Roman" w:hAnsi="Times New Roman" w:cs="Times New Roman"/>
          <w:lang w:val="en-US"/>
        </w:rPr>
        <w:t xml:space="preserve"> </w:t>
      </w:r>
    </w:p>
    <w:p w14:paraId="0638FC14" w14:textId="5BA24D0A" w:rsidR="001D075D" w:rsidRPr="009C61B6" w:rsidRDefault="001D075D" w:rsidP="001D07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1B6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procurement </w:t>
      </w:r>
      <w:r w:rsidR="00350A17" w:rsidRPr="009C61B6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International Competitive Bidding (ICB) procedures, as well as the Request for Expressions of Interest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to bid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for consulting services will be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announced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in the UN Development Business (UNDB) (https://devbusiness.un.org/), as well as on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the official websites of the E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D (https://efsd.org/purchases/), Recipient </w:t>
      </w:r>
      <w:r w:rsidR="006F041E" w:rsidRPr="009C61B6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D259D0" w:rsidRPr="009C61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59D0" w:rsidRPr="009C61B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259D0" w:rsidRPr="009C61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mlsa</w:t>
        </w:r>
        <w:r w:rsidR="00D259D0" w:rsidRPr="009C61B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D259D0" w:rsidRPr="009C61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</w:t>
        </w:r>
      </w:hyperlink>
      <w:r w:rsidR="00D259D0" w:rsidRPr="009C61B6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D259D0" w:rsidRPr="009C61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259D0"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zh-CN"/>
          </w:rPr>
          <w:t>www</w:t>
        </w:r>
        <w:r w:rsidR="00D259D0"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.</w:t>
        </w:r>
        <w:r w:rsidR="00D259D0"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zh-CN"/>
          </w:rPr>
          <w:t>nork</w:t>
        </w:r>
        <w:r w:rsidR="00D259D0"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.</w:t>
        </w:r>
        <w:r w:rsidR="00D259D0"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 w:eastAsia="zh-CN"/>
          </w:rPr>
          <w:t>am</w:t>
        </w:r>
      </w:hyperlink>
      <w:r w:rsidR="00D259D0" w:rsidRPr="009C61B6">
        <w:rPr>
          <w:rStyle w:val="Hyperlink"/>
          <w:rFonts w:ascii="Times New Roman" w:eastAsiaTheme="minorEastAsia" w:hAnsi="Times New Roman" w:cs="Times New Roman"/>
          <w:sz w:val="24"/>
          <w:szCs w:val="24"/>
          <w:lang w:val="hy-AM" w:eastAsia="zh-CN"/>
        </w:rPr>
        <w:t>, https://gnumner.minfin.am</w:t>
      </w:r>
      <w:r w:rsidR="006F041E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and Eurasian De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velopment Bank, which manages </w:t>
      </w:r>
      <w:r w:rsidR="00AC4AB7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AC4AB7" w:rsidRPr="009C61B6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Pr="009C61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https://eabr.org/procurement/</w:t>
        </w:r>
      </w:hyperlink>
      <w:r w:rsidR="00EB35FA" w:rsidRPr="009C61B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9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1B6">
        <w:rPr>
          <w:rFonts w:ascii="Times New Roman" w:hAnsi="Times New Roman" w:cs="Times New Roman"/>
          <w:sz w:val="24"/>
          <w:szCs w:val="24"/>
          <w:lang w:val="en-GB"/>
        </w:rPr>
        <w:t xml:space="preserve">The suppliers and contractors willing to be included in the mailing list for Specific Procurement Notices under the ICB procedures and consultants </w:t>
      </w:r>
      <w:r w:rsidRPr="009C61B6">
        <w:rPr>
          <w:rFonts w:ascii="Times New Roman" w:hAnsi="Times New Roman" w:cs="Times New Roman"/>
          <w:sz w:val="24"/>
          <w:szCs w:val="24"/>
          <w:lang w:val="en-GB"/>
        </w:rPr>
        <w:lastRenderedPageBreak/>
        <w:t>seeking to receive Requests for Expressions of Interest to bid for consulting service contracts, as well as those willing to obtain further information, may contact the address given below.</w:t>
      </w:r>
    </w:p>
    <w:p w14:paraId="3C131877" w14:textId="596171C1" w:rsidR="0049408E" w:rsidRPr="009C61B6" w:rsidRDefault="006C517D" w:rsidP="00EB31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1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8D5D80" w14:textId="77777777" w:rsidR="006D0564" w:rsidRPr="009C61B6" w:rsidRDefault="006D0564" w:rsidP="006D0564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9C61B6">
        <w:rPr>
          <w:rFonts w:ascii="Times New Roman" w:hAnsi="Times New Roman" w:cs="Times New Roman"/>
          <w:spacing w:val="-2"/>
          <w:sz w:val="24"/>
          <w:szCs w:val="24"/>
        </w:rPr>
        <w:t>““Nork” Social Services Technology and Awareness Center</w:t>
      </w:r>
      <w:r w:rsidRPr="009C61B6">
        <w:rPr>
          <w:rFonts w:ascii="Times New Roman" w:hAnsi="Times New Roman" w:cs="Times New Roman"/>
          <w:sz w:val="24"/>
          <w:szCs w:val="24"/>
        </w:rPr>
        <w:t>” Fund</w:t>
      </w:r>
    </w:p>
    <w:p w14:paraId="5B48D3F6" w14:textId="77777777" w:rsidR="006D0564" w:rsidRPr="009C61B6" w:rsidRDefault="006D0564" w:rsidP="006D0564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9C61B6">
        <w:rPr>
          <w:rFonts w:ascii="Times New Roman" w:hAnsi="Times New Roman" w:cs="Times New Roman"/>
          <w:spacing w:val="-2"/>
          <w:sz w:val="24"/>
          <w:szCs w:val="24"/>
        </w:rPr>
        <w:t>68 Karapet Ulneci, 0069, Yerevan, Republic of Armenia</w:t>
      </w:r>
    </w:p>
    <w:p w14:paraId="13F863C1" w14:textId="77777777" w:rsidR="006D0564" w:rsidRPr="009C61B6" w:rsidRDefault="006D0564" w:rsidP="006D0564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Mrs. Anahit Parzyan, Director  </w:t>
      </w:r>
    </w:p>
    <w:p w14:paraId="3B179F5B" w14:textId="77777777" w:rsidR="006D0564" w:rsidRPr="009C61B6" w:rsidRDefault="006D0564" w:rsidP="006D0564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Phone: + (374 11) 50-18-06 </w:t>
      </w:r>
    </w:p>
    <w:p w14:paraId="14494166" w14:textId="77777777" w:rsidR="006D0564" w:rsidRPr="009C61B6" w:rsidRDefault="006D0564" w:rsidP="006D0564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E-mail: </w:t>
      </w:r>
      <w:hyperlink r:id="rId12" w:history="1">
        <w:r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info@nork.am</w:t>
        </w:r>
      </w:hyperlink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14:paraId="595EA9A4" w14:textId="77777777" w:rsidR="006D0564" w:rsidRPr="009C61B6" w:rsidRDefault="006D0564" w:rsidP="006D0564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Official web site of Receiver: </w:t>
      </w:r>
      <w:hyperlink r:id="rId13" w:history="1">
        <w:r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www.nork.am</w:t>
        </w:r>
      </w:hyperlink>
      <w:r w:rsidRPr="009C61B6">
        <w:rPr>
          <w:rStyle w:val="Hyperlink"/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hyperlink r:id="rId14" w:history="1">
        <w:r w:rsidRPr="009C61B6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www.nork.am/en/</w:t>
        </w:r>
      </w:hyperlink>
    </w:p>
    <w:p w14:paraId="1F9ECC46" w14:textId="77777777" w:rsidR="006D0564" w:rsidRPr="009C61B6" w:rsidRDefault="006D0564" w:rsidP="006D0564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9C61B6">
        <w:rPr>
          <w:rFonts w:ascii="Times New Roman" w:eastAsiaTheme="minorEastAsia" w:hAnsi="Times New Roman" w:cs="Times New Roman"/>
          <w:sz w:val="24"/>
          <w:szCs w:val="24"/>
          <w:lang w:eastAsia="zh-CN"/>
        </w:rPr>
        <w:t>Official site of EFSD: https://efsd.org/en/</w:t>
      </w:r>
    </w:p>
    <w:p w14:paraId="2A0F6F26" w14:textId="77777777" w:rsidR="006D0564" w:rsidRPr="009C61B6" w:rsidRDefault="006D0564" w:rsidP="006D0564">
      <w:pPr>
        <w:suppressAutoHyphens/>
        <w:rPr>
          <w:rFonts w:ascii="Times New Roman" w:hAnsi="Times New Roman" w:cs="Times New Roman"/>
          <w:spacing w:val="-2"/>
        </w:rPr>
      </w:pPr>
    </w:p>
    <w:p w14:paraId="6163DBE1" w14:textId="77777777" w:rsidR="0024195E" w:rsidRPr="009C61B6" w:rsidRDefault="0024195E" w:rsidP="006D0564">
      <w:pPr>
        <w:suppressAutoHyphens/>
        <w:rPr>
          <w:rFonts w:ascii="Times New Roman" w:hAnsi="Times New Roman" w:cs="Times New Roman"/>
          <w:i/>
          <w:sz w:val="24"/>
          <w:szCs w:val="24"/>
          <w:lang w:val="hy-AM"/>
        </w:rPr>
      </w:pPr>
    </w:p>
    <w:sectPr w:rsidR="0024195E" w:rsidRPr="009C61B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E3A1D" w16cid:durableId="2652EC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9963" w14:textId="77777777" w:rsidR="00FD3D72" w:rsidRDefault="00FD3D72" w:rsidP="008D1FE2">
      <w:pPr>
        <w:spacing w:after="0" w:line="240" w:lineRule="auto"/>
      </w:pPr>
      <w:r>
        <w:separator/>
      </w:r>
    </w:p>
  </w:endnote>
  <w:endnote w:type="continuationSeparator" w:id="0">
    <w:p w14:paraId="75B05C2C" w14:textId="77777777" w:rsidR="00FD3D72" w:rsidRDefault="00FD3D72" w:rsidP="008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1D22" w14:textId="77777777" w:rsidR="00FD3D72" w:rsidRDefault="00FD3D72" w:rsidP="008D1FE2">
      <w:pPr>
        <w:spacing w:after="0" w:line="240" w:lineRule="auto"/>
      </w:pPr>
      <w:r>
        <w:separator/>
      </w:r>
    </w:p>
  </w:footnote>
  <w:footnote w:type="continuationSeparator" w:id="0">
    <w:p w14:paraId="4B5234FC" w14:textId="77777777" w:rsidR="00FD3D72" w:rsidRDefault="00FD3D72" w:rsidP="008D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1405" w14:textId="68015FA8" w:rsidR="00E53672" w:rsidRPr="00E53672" w:rsidRDefault="00E53672" w:rsidP="00E53672">
    <w:pP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E4D06"/>
    <w:multiLevelType w:val="hybridMultilevel"/>
    <w:tmpl w:val="1D0222CE"/>
    <w:lvl w:ilvl="0" w:tplc="F67A28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7"/>
    <w:rsid w:val="00074213"/>
    <w:rsid w:val="00090505"/>
    <w:rsid w:val="000B1F10"/>
    <w:rsid w:val="000F560F"/>
    <w:rsid w:val="000F6E69"/>
    <w:rsid w:val="00174F9A"/>
    <w:rsid w:val="00176B04"/>
    <w:rsid w:val="00193A31"/>
    <w:rsid w:val="001C3856"/>
    <w:rsid w:val="001D075D"/>
    <w:rsid w:val="001D786B"/>
    <w:rsid w:val="00224F84"/>
    <w:rsid w:val="0024195E"/>
    <w:rsid w:val="002870A4"/>
    <w:rsid w:val="0029527E"/>
    <w:rsid w:val="002D049B"/>
    <w:rsid w:val="00350A17"/>
    <w:rsid w:val="00380281"/>
    <w:rsid w:val="00382295"/>
    <w:rsid w:val="00394291"/>
    <w:rsid w:val="003F30F7"/>
    <w:rsid w:val="00444F7C"/>
    <w:rsid w:val="00474B55"/>
    <w:rsid w:val="004824DA"/>
    <w:rsid w:val="0049408E"/>
    <w:rsid w:val="004B08AD"/>
    <w:rsid w:val="004B46E4"/>
    <w:rsid w:val="004D359F"/>
    <w:rsid w:val="004D43A6"/>
    <w:rsid w:val="004E14F9"/>
    <w:rsid w:val="004F789C"/>
    <w:rsid w:val="005255B3"/>
    <w:rsid w:val="0056763C"/>
    <w:rsid w:val="005C7165"/>
    <w:rsid w:val="005E4CD5"/>
    <w:rsid w:val="00600602"/>
    <w:rsid w:val="006347AC"/>
    <w:rsid w:val="00683057"/>
    <w:rsid w:val="00697E4C"/>
    <w:rsid w:val="006C517D"/>
    <w:rsid w:val="006D0564"/>
    <w:rsid w:val="006D2455"/>
    <w:rsid w:val="006E4EFE"/>
    <w:rsid w:val="006E6995"/>
    <w:rsid w:val="006F041E"/>
    <w:rsid w:val="00702734"/>
    <w:rsid w:val="00736B61"/>
    <w:rsid w:val="0077461D"/>
    <w:rsid w:val="00775277"/>
    <w:rsid w:val="00792AD6"/>
    <w:rsid w:val="00794F0C"/>
    <w:rsid w:val="007F1C58"/>
    <w:rsid w:val="00890A44"/>
    <w:rsid w:val="00893072"/>
    <w:rsid w:val="0089630A"/>
    <w:rsid w:val="008A70B7"/>
    <w:rsid w:val="008C05C9"/>
    <w:rsid w:val="008D1FE2"/>
    <w:rsid w:val="00913E26"/>
    <w:rsid w:val="00916965"/>
    <w:rsid w:val="0093546B"/>
    <w:rsid w:val="00953F88"/>
    <w:rsid w:val="009B43A7"/>
    <w:rsid w:val="009C61B6"/>
    <w:rsid w:val="009C649C"/>
    <w:rsid w:val="009E3FC5"/>
    <w:rsid w:val="00A177C3"/>
    <w:rsid w:val="00A36C9E"/>
    <w:rsid w:val="00A51477"/>
    <w:rsid w:val="00A71211"/>
    <w:rsid w:val="00A85199"/>
    <w:rsid w:val="00A96684"/>
    <w:rsid w:val="00AC4AB7"/>
    <w:rsid w:val="00AD07F7"/>
    <w:rsid w:val="00AF6ECA"/>
    <w:rsid w:val="00B01478"/>
    <w:rsid w:val="00B1604B"/>
    <w:rsid w:val="00BB55CF"/>
    <w:rsid w:val="00BD6BC3"/>
    <w:rsid w:val="00BD6F98"/>
    <w:rsid w:val="00C421F3"/>
    <w:rsid w:val="00C42394"/>
    <w:rsid w:val="00CB709C"/>
    <w:rsid w:val="00CB75A4"/>
    <w:rsid w:val="00CF04DF"/>
    <w:rsid w:val="00D25916"/>
    <w:rsid w:val="00D259D0"/>
    <w:rsid w:val="00D42AB4"/>
    <w:rsid w:val="00D771E0"/>
    <w:rsid w:val="00D7766C"/>
    <w:rsid w:val="00D8098A"/>
    <w:rsid w:val="00DC4916"/>
    <w:rsid w:val="00E53672"/>
    <w:rsid w:val="00E72458"/>
    <w:rsid w:val="00E72BE3"/>
    <w:rsid w:val="00E906F7"/>
    <w:rsid w:val="00E90B35"/>
    <w:rsid w:val="00EA2F63"/>
    <w:rsid w:val="00EB3118"/>
    <w:rsid w:val="00EB35FA"/>
    <w:rsid w:val="00ED446C"/>
    <w:rsid w:val="00EE1102"/>
    <w:rsid w:val="00F06BB6"/>
    <w:rsid w:val="00F5124A"/>
    <w:rsid w:val="00F731D4"/>
    <w:rsid w:val="00FD34C9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9B12"/>
  <w15:chartTrackingRefBased/>
  <w15:docId w15:val="{AB79C1BF-8BB6-4683-94EE-9B14D1D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F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F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72"/>
  </w:style>
  <w:style w:type="paragraph" w:styleId="Footer">
    <w:name w:val="footer"/>
    <w:basedOn w:val="Normal"/>
    <w:link w:val="FooterChar"/>
    <w:uiPriority w:val="99"/>
    <w:unhideWhenUsed/>
    <w:rsid w:val="00E5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72"/>
  </w:style>
  <w:style w:type="character" w:customStyle="1" w:styleId="s0">
    <w:name w:val="s0"/>
    <w:rsid w:val="00EE11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customStyle="1" w:styleId="Default">
    <w:name w:val="Default"/>
    <w:rsid w:val="00EE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2A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06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6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734"/>
    <w:rPr>
      <w:color w:val="605E5C"/>
      <w:shd w:val="clear" w:color="auto" w:fill="E1DFDD"/>
    </w:rPr>
  </w:style>
  <w:style w:type="paragraph" w:customStyle="1" w:styleId="Heading1a">
    <w:name w:val="Heading 1a"/>
    <w:rsid w:val="0068305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6D0564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D0564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E2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1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eabr.org/about/documents/policies_and_procedures/)" TargetMode="External"/><Relationship Id="rId13" Type="http://schemas.openxmlformats.org/officeDocument/2006/relationships/hyperlink" Target="http://www.nork.a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rk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br.org/procure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sa.am" TargetMode="External"/><Relationship Id="rId14" Type="http://schemas.openxmlformats.org/officeDocument/2006/relationships/hyperlink" Target="http://www.nork.a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CD14-FF91-4B2E-8868-8A69A08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Zaruhi Gharagyozyan</cp:lastModifiedBy>
  <cp:revision>11</cp:revision>
  <dcterms:created xsi:type="dcterms:W3CDTF">2022-09-29T12:03:00Z</dcterms:created>
  <dcterms:modified xsi:type="dcterms:W3CDTF">2022-09-29T13:59:00Z</dcterms:modified>
</cp:coreProperties>
</file>