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66B3159" w:rsidR="00716704" w:rsidRPr="00B05106" w:rsidRDefault="00956188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956188">
        <w:rPr>
          <w:rFonts w:ascii="GHEA Grapalat" w:hAnsi="GHEA Grapalat" w:cs="Sylfaen"/>
          <w:i/>
          <w:lang w:val="af-ZA"/>
        </w:rPr>
        <w:t>Աբովյան համայնքի կարիքների համար Աբովյան քաղաքի Սարալանջ թաղամասը մարզադաշտ տանող ճանապարհին և 3-րդ, 4-րդ միկրոշրջանները վարչական կենտրոնին կապող աստիճանների հիմնանորոգման աշխատանքների իրականացման համար տեխնիկական հսկողության խորհրդատվական ծառայությունների ձեռքբերման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>
        <w:rPr>
          <w:rFonts w:ascii="GHEA Grapalat" w:hAnsi="GHEA Grapalat" w:cs="Sylfaen"/>
          <w:i/>
          <w:lang w:val="af-ZA"/>
        </w:rPr>
        <w:t>նպատակով «ԱԲՀ-ԲՄԽԾՁԲ-23/09</w:t>
      </w:r>
      <w:r w:rsidR="00B05106" w:rsidRPr="00B05106">
        <w:rPr>
          <w:rFonts w:ascii="GHEA Grapalat" w:hAnsi="GHEA Grapalat" w:cs="Sylfaen"/>
          <w:i/>
          <w:lang w:val="af-ZA"/>
        </w:rPr>
        <w:t xml:space="preserve">» ծածկագրով հրատապ բաց մրցույթով </w:t>
      </w:r>
      <w:r w:rsidR="00035227" w:rsidRPr="00705755">
        <w:rPr>
          <w:rFonts w:ascii="GHEA Grapalat" w:hAnsi="GHEA Grapalat" w:cs="Sylfaen"/>
          <w:i/>
          <w:lang w:val="af-ZA"/>
        </w:rPr>
        <w:t>ընթացակարգի</w:t>
      </w:r>
      <w:r w:rsidR="00035227" w:rsidRPr="00B05106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303113EF" w14:textId="78333C36" w:rsidR="00B05106" w:rsidRPr="00B05106" w:rsidRDefault="00716704" w:rsidP="00956188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5B6A50">
        <w:rPr>
          <w:rFonts w:ascii="GHEA Grapalat" w:hAnsi="GHEA Grapalat" w:cs="Sylfaen"/>
          <w:i/>
          <w:lang w:val="af-ZA"/>
        </w:rPr>
        <w:t>открытого конкурса</w:t>
      </w:r>
      <w:r w:rsidRPr="00705755">
        <w:rPr>
          <w:rFonts w:ascii="GHEA Grapalat" w:hAnsi="GHEA Grapalat" w:cs="Sylfaen"/>
          <w:i/>
          <w:lang w:val="af-ZA"/>
        </w:rPr>
        <w:t xml:space="preserve"> 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956188">
        <w:rPr>
          <w:rFonts w:ascii="GHEA Grapalat" w:hAnsi="GHEA Grapalat" w:cs="Sylfaen"/>
          <w:i/>
          <w:lang w:val="af-ZA"/>
        </w:rPr>
        <w:t>BMTzDzB-23/09» д</w:t>
      </w:r>
      <w:r w:rsidR="00956188" w:rsidRPr="00956188">
        <w:rPr>
          <w:rFonts w:ascii="GHEA Grapalat" w:hAnsi="GHEA Grapalat" w:cs="Sylfaen"/>
          <w:i/>
          <w:lang w:val="af-ZA"/>
        </w:rPr>
        <w:t xml:space="preserve">ля нужд общины Абовян приобретение консультационных услуг по техническому надзору за выполнением работ по капитальному ремонту лестницы, соединяющей </w:t>
      </w:r>
      <w:proofErr w:type="spellStart"/>
      <w:r w:rsidR="00956188" w:rsidRPr="00956188">
        <w:rPr>
          <w:rFonts w:ascii="GHEA Grapalat" w:hAnsi="GHEA Grapalat" w:cs="Sylfaen"/>
          <w:i/>
          <w:lang w:val="af-ZA"/>
        </w:rPr>
        <w:t>Сараланджский</w:t>
      </w:r>
      <w:proofErr w:type="spellEnd"/>
      <w:r w:rsidR="00956188" w:rsidRPr="00956188">
        <w:rPr>
          <w:rFonts w:ascii="GHEA Grapalat" w:hAnsi="GHEA Grapalat" w:cs="Sylfaen"/>
          <w:i/>
          <w:lang w:val="af-ZA"/>
        </w:rPr>
        <w:t xml:space="preserve"> район города Абовяна на дороге ведущей к стадиону и 3-м и 4-м микрорайонах на административный центр</w:t>
      </w:r>
      <w:r w:rsidR="00B05106" w:rsidRPr="00B05106">
        <w:rPr>
          <w:rFonts w:ascii="GHEA Grapalat" w:hAnsi="GHEA Grapalat" w:cs="Sylfaen"/>
          <w:i/>
          <w:lang w:val="af-ZA"/>
        </w:rPr>
        <w:t>.</w:t>
      </w:r>
    </w:p>
    <w:p w14:paraId="77B08F87" w14:textId="1CB6E9B9" w:rsidR="00716704" w:rsidRPr="00B05106" w:rsidRDefault="00716704" w:rsidP="00B05106">
      <w:pPr>
        <w:pStyle w:val="HTML"/>
        <w:shd w:val="clear" w:color="auto" w:fill="F8F9FA"/>
        <w:jc w:val="center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463"/>
        <w:gridCol w:w="746"/>
        <w:gridCol w:w="336"/>
        <w:gridCol w:w="267"/>
        <w:gridCol w:w="268"/>
        <w:gridCol w:w="169"/>
        <w:gridCol w:w="144"/>
        <w:gridCol w:w="311"/>
        <w:gridCol w:w="310"/>
        <w:gridCol w:w="90"/>
        <w:gridCol w:w="446"/>
        <w:gridCol w:w="249"/>
        <w:gridCol w:w="229"/>
        <w:gridCol w:w="352"/>
        <w:gridCol w:w="385"/>
        <w:gridCol w:w="211"/>
        <w:gridCol w:w="168"/>
        <w:gridCol w:w="188"/>
        <w:gridCol w:w="323"/>
        <w:gridCol w:w="171"/>
        <w:gridCol w:w="113"/>
        <w:gridCol w:w="42"/>
        <w:gridCol w:w="656"/>
        <w:gridCol w:w="11"/>
        <w:gridCol w:w="275"/>
        <w:gridCol w:w="252"/>
        <w:gridCol w:w="244"/>
        <w:gridCol w:w="245"/>
        <w:gridCol w:w="222"/>
        <w:gridCol w:w="175"/>
        <w:gridCol w:w="1675"/>
      </w:tblGrid>
      <w:tr w:rsidR="0022631D" w:rsidRPr="00705755" w14:paraId="3BCB0F4A" w14:textId="77777777" w:rsidTr="008C429A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D340EE">
        <w:trPr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D340EE">
        <w:trPr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D340EE">
        <w:trPr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956188" w14:paraId="6CB0AC86" w14:textId="77777777" w:rsidTr="000F405C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C901FE8" w:rsidR="00395A74" w:rsidRPr="00705755" w:rsidRDefault="00956188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95618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Աբովյան քաղաքի Սարալանջ թաղամասը մարզադաշտ տանող ճանապարհին և 3-րդ, 4-րդ միկրոշրջանները վարչական կենտրոնին կապող աստիճանների հիմնանորոգման աշխատանքների իրականացման համար տեխնիկական հսկողության խորհրդատվական ծառայությունների </w:t>
            </w:r>
            <w:r w:rsidR="00432494"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="00432494"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П</w:t>
            </w:r>
            <w:r w:rsidRPr="0095618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риобретение консультационных услуг по техническому надзору за выполнением работ по капитальному ремонту лестницы, соединяющей Сараланджский район города Абовяна на дороге ведущей к стадиону и 3-м и 4-м микрорайонах на административный центр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DEAFE2D" w:rsidR="00207B08" w:rsidRPr="00956188" w:rsidRDefault="00956188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2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557 000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E61D5CC" w:rsidR="00207B08" w:rsidRPr="00705755" w:rsidRDefault="00956188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2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557 000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9A926FA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948FBBE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FEE8755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1013593A" w14:textId="6AFA1387" w:rsidR="00207B08" w:rsidRPr="00705755" w:rsidRDefault="00956188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95618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Աբովյան քաղաքի Սարալանջ թաղամասը մարզադաշտ տանող ճանապարհին և 3-րդ, 4-րդ միկրոշրջանները վարչական կենտրոնին կապող աստիճանների հիմնանորոգման աշխատանքների իրականացման համար տեխնիկական հսկողության խորհրդատվական ծառայությունների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Pr="0095618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риобретение консультационных услуг по техническому надзору за выполнением работ по капитальному ремонту лестницы, </w:t>
            </w:r>
            <w:r w:rsidRPr="0095618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соединяющей Сараланджский район города Абовяна на дороге ведущей к стадиону и 3-м и 4-м микрорайонах на административный центр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</w:tcPr>
          <w:p w14:paraId="5CCAA384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4EFDE69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152B32D" w14:textId="2BB5D166" w:rsidR="00207B08" w:rsidRPr="00705755" w:rsidRDefault="00956188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95618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Աբովյան քաղաքի Սարալանջ թաղամասը մարզադաշտ տանող ճանապարհին և 3-րդ, 4-րդ միկրոշրջանները վարչական կենտրոնին կապող աստիճանների հիմնանորոգման աշխատանքների իրականացման համար տեխնիկական հսկողության խորհրդատվական ծառայությունների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Pr="0095618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риобретение консультационных </w:t>
            </w:r>
            <w:r w:rsidRPr="0095618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lastRenderedPageBreak/>
              <w:t>услуг по техническому надзору за выполнением работ по капитальному ремонту лестницы, соединяющей Сараланджский район города Абовяна на дороге ведущей к стадиону и 3-м и 4-м микрорайонах на административный центр</w:t>
            </w:r>
          </w:p>
        </w:tc>
      </w:tr>
      <w:tr w:rsidR="008B53FB" w:rsidRPr="00956188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956188" w14:paraId="24C3B0CB" w14:textId="77777777" w:rsidTr="008C429A">
        <w:trPr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1C7BA5" w:rsidR="008B53FB" w:rsidRPr="00705755" w:rsidRDefault="00C61CFE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="008B53FB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открытий конкурс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956188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1596E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9304D8D" w:rsidR="008B53FB" w:rsidRPr="00705755" w:rsidRDefault="00956188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07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8B53FB" w:rsidRPr="00705755" w14:paraId="199F948A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EE9B00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956188" w14:paraId="10DC4861" w14:textId="77777777" w:rsidTr="008C429A">
        <w:trPr>
          <w:trHeight w:val="605"/>
        </w:trPr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3" w:type="dxa"/>
            <w:gridSpan w:val="24"/>
            <w:shd w:val="clear" w:color="auto" w:fill="auto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8C429A">
        <w:trPr>
          <w:trHeight w:val="365"/>
        </w:trPr>
        <w:tc>
          <w:tcPr>
            <w:tcW w:w="1153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956188" w14:paraId="4DA511EC" w14:textId="77777777" w:rsidTr="008C429A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DBE5B3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6ABF72D4" w14:textId="4099639E" w:rsidR="008B53FB" w:rsidRPr="00354783" w:rsidRDefault="00956188" w:rsidP="0035478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hy-AM" w:eastAsia="ru-RU"/>
              </w:rPr>
            </w:pPr>
            <w:r w:rsidRPr="0095618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Աբովյան համայնքի կարիքների համար Աբովյան քաղաքի Սարալանջ թաղամասը մարզադաշտ տանող ճանապարհին և 3-րդ, 4-րդ միկրոշրջանները վարչական կենտրոնին կապող աստիճանների հիմնանորոգման աշխատանքների իրականացման համար տեխնիկական հսկողության խորհրդատվական ծառայությունների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П</w:t>
            </w:r>
            <w:r w:rsidRPr="00956188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риобретение консультационных услуг по техническому надзору за выполнением работ по капитальному ремонту лестницы, соединяющей Сараланджский район города Абовяна на дороге ведущей к стадиону и 3-м и 4-м микрорайонах на административный центр</w:t>
            </w:r>
          </w:p>
        </w:tc>
      </w:tr>
      <w:tr w:rsidR="00956188" w:rsidRPr="00705755" w14:paraId="50825522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0AD5B95" w14:textId="0224504A" w:rsidR="00956188" w:rsidRPr="00705755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6DD977C9" w:rsidR="00956188" w:rsidRPr="00CE7E2C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«Միկան» ՍՊԸ</w:t>
            </w:r>
            <w:r w:rsidR="00CE7E2C">
              <w:rPr>
                <w:rFonts w:ascii="GHEA Grapalat" w:hAnsi="GHEA Grapalat" w:cs="Sylfaen"/>
                <w:i/>
              </w:rPr>
              <w:t xml:space="preserve">, </w:t>
            </w:r>
            <w:r w:rsidR="00CE7E2C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CE7E2C">
              <w:rPr>
                <w:rFonts w:ascii="GHEA Grapalat" w:hAnsi="GHEA Grapalat" w:cs="Sylfaen"/>
                <w:i/>
                <w:lang w:val="hy-AM"/>
              </w:rPr>
              <w:t>«Микан»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60CCC8DE" w:rsidR="00956188" w:rsidRPr="00705755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470 000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258DFF71" w:rsidR="00956188" w:rsidRPr="00705755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3B835E0F" w:rsidR="00956188" w:rsidRPr="00705755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470 000</w:t>
            </w:r>
          </w:p>
        </w:tc>
      </w:tr>
      <w:tr w:rsidR="00956188" w:rsidRPr="00705755" w14:paraId="197B9350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35B0662A" w14:textId="18921DFF" w:rsidR="00956188" w:rsidRPr="00705755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B4C362B" w14:textId="4BF24185" w:rsidR="00956188" w:rsidRPr="00CE7E2C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CE7E2C" w:rsidRPr="00CE7E2C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CE7E2C" w:rsidRPr="00CE7E2C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CE7E2C">
              <w:rPr>
                <w:rFonts w:ascii="GHEA Grapalat" w:hAnsi="GHEA Grapalat" w:cs="Sylfaen"/>
                <w:i/>
                <w:lang w:val="hy-AM"/>
              </w:rPr>
              <w:t>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5C6F274" w14:textId="18B77FE2" w:rsidR="00956188" w:rsidRPr="00705755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715 960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501604" w14:textId="77777777" w:rsidR="00956188" w:rsidRPr="00705755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7699B67" w14:textId="0A34F7BB" w:rsidR="00956188" w:rsidRPr="00705755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715 960</w:t>
            </w:r>
          </w:p>
        </w:tc>
      </w:tr>
      <w:tr w:rsidR="00956188" w:rsidRPr="00705755" w14:paraId="068EF8C0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318A259A" w14:textId="484D892C" w:rsidR="00956188" w:rsidRPr="00705755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BD15160" w14:textId="6371F496" w:rsidR="00956188" w:rsidRPr="00CE7E2C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«Իրտիգ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CE7E2C">
              <w:rPr>
                <w:rFonts w:ascii="GHEA Grapalat" w:hAnsi="GHEA Grapalat" w:cs="Sylfaen"/>
                <w:i/>
              </w:rPr>
              <w:t xml:space="preserve">, </w:t>
            </w:r>
            <w:r w:rsidR="00CE7E2C">
              <w:rPr>
                <w:rFonts w:ascii="GHEA Grapalat" w:hAnsi="GHEA Grapalat" w:cs="Sylfaen"/>
                <w:i/>
                <w:lang w:val="hy-AM"/>
              </w:rPr>
              <w:t>«Իրտիգ</w:t>
            </w:r>
            <w:r w:rsidR="00CE7E2C"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82B8DD7" w14:textId="54192865" w:rsidR="00956188" w:rsidRPr="00705755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833 333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9ED5343" w14:textId="11EFF98F" w:rsidR="00956188" w:rsidRPr="00705755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166 667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0A0093B" w14:textId="0FAB59A2" w:rsidR="00956188" w:rsidRPr="00705755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</w:tr>
      <w:tr w:rsidR="00956188" w:rsidRPr="00705755" w14:paraId="73FF1F25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086FEB2E" w14:textId="59C4943F" w:rsidR="00956188" w:rsidRPr="00956188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89DE5CE" w14:textId="6E2F7AEB" w:rsidR="00956188" w:rsidRPr="00CE7E2C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«ՀՀ նախագծերի պետական արտագերատես</w:t>
            </w:r>
            <w:r>
              <w:rPr>
                <w:rFonts w:ascii="GHEA Grapalat" w:hAnsi="GHEA Grapalat" w:cs="Sylfaen"/>
                <w:i/>
                <w:lang w:val="hy-AM"/>
              </w:rPr>
              <w:lastRenderedPageBreak/>
              <w:t>չական փորձաքննություն» ՓԲԸ</w:t>
            </w:r>
            <w:r w:rsidR="00CE7E2C" w:rsidRPr="00CE7E2C">
              <w:rPr>
                <w:rFonts w:ascii="GHEA Grapalat" w:hAnsi="GHEA Grapalat" w:cs="Sylfaen"/>
                <w:i/>
                <w:lang w:val="ru-RU"/>
              </w:rPr>
              <w:t xml:space="preserve">, </w:t>
            </w:r>
            <w:r w:rsidR="00CE7E2C">
              <w:rPr>
                <w:rFonts w:ascii="GHEA Grapalat" w:hAnsi="GHEA Grapalat" w:cs="Sylfaen"/>
                <w:i/>
                <w:lang w:val="hy-AM"/>
              </w:rPr>
              <w:t>ЗАО «</w:t>
            </w:r>
            <w:r w:rsidR="00CE7E2C" w:rsidRPr="00410D2A">
              <w:rPr>
                <w:rFonts w:ascii="GHEA Grapalat" w:hAnsi="GHEA Grapalat" w:cs="Sylfaen"/>
                <w:i/>
                <w:lang w:val="ru-RU"/>
              </w:rPr>
              <w:t>Государственная вневедомственная экспертиза проектов РА</w:t>
            </w:r>
            <w:r w:rsidR="00CE7E2C" w:rsidRPr="0098324E">
              <w:rPr>
                <w:rFonts w:ascii="GHEA Grapalat" w:hAnsi="GHEA Grapalat" w:cs="Sylfaen"/>
                <w:i/>
                <w:lang w:val="ru-RU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6C85DC1C" w14:textId="2BB985FB" w:rsidR="00956188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lastRenderedPageBreak/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65A1AED" w14:textId="0755AFE6" w:rsidR="00956188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200 000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9C7E093" w14:textId="7D49C97E" w:rsidR="00956188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200 000</w:t>
            </w:r>
          </w:p>
        </w:tc>
      </w:tr>
      <w:tr w:rsidR="00956188" w:rsidRPr="00705755" w14:paraId="6EE620E8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76B81863" w14:textId="65780E6D" w:rsidR="00956188" w:rsidRPr="00956188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  <w:lang w:val="ru-RU"/>
              </w:rPr>
              <w:t>5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0F8C9464" w14:textId="6FE750B5" w:rsidR="00956188" w:rsidRPr="00CE7E2C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«ԷԼ-ՍԹՐՈՅ» ՍՊԸ</w:t>
            </w:r>
            <w:r w:rsidR="00CE7E2C" w:rsidRPr="00CE7E2C">
              <w:rPr>
                <w:rFonts w:ascii="GHEA Grapalat" w:hAnsi="GHEA Grapalat" w:cs="Sylfaen"/>
                <w:i/>
                <w:lang w:val="ru-RU"/>
              </w:rPr>
              <w:t xml:space="preserve">, </w:t>
            </w:r>
            <w:r w:rsidR="00CE7E2C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CE7E2C">
              <w:rPr>
                <w:rFonts w:ascii="GHEA Grapalat" w:hAnsi="GHEA Grapalat" w:cs="Sylfaen"/>
                <w:i/>
                <w:lang w:val="hy-AM"/>
              </w:rPr>
              <w:t>«</w:t>
            </w:r>
            <w:r w:rsidR="00CE7E2C">
              <w:rPr>
                <w:rFonts w:ascii="GHEA Grapalat" w:hAnsi="GHEA Grapalat" w:cs="Sylfaen"/>
                <w:i/>
                <w:lang w:val="ru-RU"/>
              </w:rPr>
              <w:t>ЭЛ-СТРОЙ</w:t>
            </w:r>
            <w:r w:rsidR="00CE7E2C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F256EB6" w14:textId="7E13F27F" w:rsidR="00956188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 xml:space="preserve">500 000  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A15004C" w14:textId="77777777" w:rsidR="00956188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2B96F0E" w14:textId="5E4B00A6" w:rsidR="00956188" w:rsidRDefault="00956188" w:rsidP="009561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500 000</w:t>
            </w:r>
          </w:p>
        </w:tc>
      </w:tr>
      <w:tr w:rsidR="008B53FB" w:rsidRPr="00623367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956188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956188" w14:paraId="552679BF" w14:textId="77777777" w:rsidTr="00585642"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585642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72614A" w14:paraId="5E96A1C5" w14:textId="77777777" w:rsidTr="0058564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208DCA79" w14:textId="77777777" w:rsidR="0072614A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bookmarkStart w:id="0" w:name="_GoBack" w:colFirst="1" w:colLast="2"/>
          </w:p>
          <w:p w14:paraId="7A9D55B3" w14:textId="77777777" w:rsidR="0072614A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3BAE15F9" w:rsidR="008B53FB" w:rsidRPr="00705755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5DC3370" w:rsidR="008B53FB" w:rsidRPr="0072614A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72614A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«Միկան» ՍՊԸ</w:t>
            </w:r>
            <w:r w:rsidRPr="0072614A">
              <w:rPr>
                <w:rFonts w:ascii="GHEA Grapalat" w:hAnsi="GHEA Grapalat" w:cs="Sylfaen"/>
                <w:i/>
                <w:sz w:val="18"/>
                <w:szCs w:val="18"/>
              </w:rPr>
              <w:t xml:space="preserve">, </w:t>
            </w:r>
            <w:r w:rsidRPr="0072614A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 xml:space="preserve">ООО </w:t>
            </w:r>
            <w:r w:rsidRPr="0072614A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«Микан»</w:t>
            </w: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3EC19B34" w:rsidR="008B53FB" w:rsidRPr="0072614A" w:rsidRDefault="0072614A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72614A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էներգետիկ ոլորտի մասնագետի որակավորումը հավաստող փաստաթղթերի (դիպլոմ, վկայագիր, հավաստագիր և այլն) պատճեններ ներկայացված չեն, ներկայացված չէ հրավերում նշված լիցենզիան</w:t>
            </w: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bookmarkEnd w:id="0"/>
      <w:tr w:rsidR="008B53FB" w:rsidRPr="0072614A" w14:paraId="443F73EF" w14:textId="77777777" w:rsidTr="00585642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956188" w14:paraId="522ACAFB" w14:textId="77777777" w:rsidTr="008C429A">
        <w:trPr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29"/>
            <w:shd w:val="clear" w:color="auto" w:fill="auto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956188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8C429A">
        <w:trPr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B23946B" w:rsidR="008B53FB" w:rsidRPr="00705755" w:rsidRDefault="00956188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="00951ED2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956188" w14:paraId="71BEA872" w14:textId="77777777" w:rsidTr="008C429A">
        <w:trPr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8C429A">
        <w:trPr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6C6A60B" w:rsidR="008B53FB" w:rsidRPr="00705755" w:rsidRDefault="00395EEF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23</w:t>
            </w:r>
            <w:r w:rsidR="00951ED2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75EB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AF48D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C0533DA" w:rsidR="008B53FB" w:rsidRPr="00623367" w:rsidRDefault="008630DE" w:rsidP="006233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</w:t>
            </w:r>
            <w:r w:rsidR="00395EE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</w:t>
            </w:r>
            <w:r w:rsidR="006D4CC0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</w:t>
            </w:r>
            <w:r w:rsidR="00395EE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.04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.2023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956188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BEE364C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6233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</w:t>
            </w:r>
            <w:r w:rsidR="00395EE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6</w:t>
            </w:r>
            <w:r w:rsidR="00395EE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.04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635F2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8B53FB" w:rsidRPr="00705755" w14:paraId="3C75DA26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AEE0DB9" w:rsidR="008B53FB" w:rsidRPr="00705755" w:rsidRDefault="00354783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 w:rsidR="00395EE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</w:t>
            </w:r>
            <w:r w:rsidR="00395EE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.04</w:t>
            </w:r>
            <w:r w:rsidR="00391C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</w:t>
            </w:r>
            <w:r w:rsidR="008B77D8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B446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0682C6BE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38C2EB5" w:rsidR="008B53FB" w:rsidRPr="00705755" w:rsidRDefault="00395EEF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14</w:t>
            </w:r>
            <w:r w:rsidR="006233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.04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D340EE"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8"/>
            <w:shd w:val="clear" w:color="auto" w:fill="auto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705755" w14:paraId="11F19FA1" w14:textId="77777777" w:rsidTr="008F38AF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8F38AF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8F38AF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B53FB" w:rsidRPr="00705755" w14:paraId="1E28D31D" w14:textId="77777777" w:rsidTr="008F38AF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550ECFA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91CD0D1" w14:textId="26079F76" w:rsidR="008B53FB" w:rsidRPr="00CE7E2C" w:rsidRDefault="00395EEF" w:rsidP="00F3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CE7E2C" w:rsidRPr="00CE7E2C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CE7E2C" w:rsidRPr="00CE7E2C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CE7E2C">
              <w:rPr>
                <w:rFonts w:ascii="GHEA Grapalat" w:hAnsi="GHEA Grapalat" w:cs="Sylfaen"/>
                <w:i/>
                <w:lang w:val="hy-AM"/>
              </w:rPr>
              <w:t>«Гегаркуник Наири»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183B64C" w14:textId="1E90EA02" w:rsidR="008B53FB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5B6A50">
              <w:rPr>
                <w:rFonts w:ascii="GHEA Grapalat" w:hAnsi="GHEA Grapalat" w:cs="Sylfaen"/>
                <w:i/>
                <w:szCs w:val="20"/>
                <w:lang w:val="af-ZA"/>
              </w:rPr>
              <w:t>ԱԲՀ-ԲՄԽԾՁԲ</w:t>
            </w:r>
            <w:r w:rsidR="00395EEF">
              <w:rPr>
                <w:rFonts w:ascii="GHEA Grapalat" w:hAnsi="GHEA Grapalat" w:cs="Sylfaen"/>
                <w:i/>
                <w:szCs w:val="20"/>
                <w:lang w:val="af-ZA"/>
              </w:rPr>
              <w:t>-23/09</w:t>
            </w:r>
            <w:r>
              <w:rPr>
                <w:rFonts w:ascii="GHEA Grapalat" w:hAnsi="GHEA Grapalat" w:cs="Sylfaen"/>
                <w:i/>
                <w:szCs w:val="20"/>
                <w:lang w:val="af-ZA"/>
              </w:rPr>
              <w:t xml:space="preserve"> 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«А</w:t>
            </w:r>
            <w:r w:rsidR="00536E55" w:rsidRPr="00705755">
              <w:rPr>
                <w:rFonts w:ascii="GHEA Grapalat" w:hAnsi="GHEA Grapalat" w:cs="Sylfaen"/>
                <w:i/>
                <w:lang w:val="hy-AM"/>
              </w:rPr>
              <w:t>BH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-</w:t>
            </w:r>
            <w:r>
              <w:rPr>
                <w:rFonts w:ascii="GHEA Grapalat" w:hAnsi="GHEA Grapalat" w:cs="Sylfaen"/>
                <w:i/>
                <w:lang w:val="af-ZA"/>
              </w:rPr>
              <w:t>BM</w:t>
            </w:r>
            <w:proofErr w:type="spellStart"/>
            <w:r w:rsidR="00CE7E2C">
              <w:rPr>
                <w:rFonts w:ascii="GHEA Grapalat" w:hAnsi="GHEA Grapalat" w:cs="Sylfaen"/>
                <w:i/>
              </w:rPr>
              <w:t>KhTz</w:t>
            </w:r>
            <w:proofErr w:type="spellEnd"/>
            <w:r w:rsidR="00536E55" w:rsidRPr="00705755">
              <w:rPr>
                <w:rFonts w:ascii="GHEA Grapalat" w:hAnsi="GHEA Grapalat" w:cs="Sylfaen"/>
                <w:i/>
                <w:lang w:val="af-ZA"/>
              </w:rPr>
              <w:t>DzB</w:t>
            </w:r>
            <w:r w:rsidR="00395EEF">
              <w:rPr>
                <w:rFonts w:ascii="GHEA Grapalat" w:hAnsi="GHEA Grapalat" w:cs="Sylfaen"/>
                <w:i/>
                <w:lang w:val="af-ZA"/>
              </w:rPr>
              <w:t>-23/09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F54951" w14:textId="4FABC269" w:rsidR="008B53FB" w:rsidRPr="00705755" w:rsidRDefault="00395EEF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14</w:t>
            </w:r>
            <w:r w:rsidR="008B53F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04</w:t>
            </w:r>
            <w:r w:rsidR="00314E57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446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B446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10A7BBF" w14:textId="03225822" w:rsidR="008B53FB" w:rsidRPr="00354783" w:rsidRDefault="00623367" w:rsidP="00C46C8E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  <w:lang w:val="hy-AM"/>
              </w:rPr>
            </w:pP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Շինարարական աշխատանքների</w:t>
            </w:r>
            <w:r w:rsid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</w:t>
            </w: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պայմանագիրը /համաձայնագիրը/ օրենքով սահմանված կարգով ուժի մեջ մտնելու օրվանից –շինարարական աշխատանքների ավարտ</w:t>
            </w:r>
            <w:r w:rsidR="00C46C8E"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:</w:t>
            </w:r>
            <w:r w:rsidRPr="00C46C8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="00C46C8E"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Со дня вступления в силу договора/договора на выполнение строительных работ в соответствии с законодательством – завершение строительных работ</w:t>
            </w:r>
            <w:r w:rsid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.</w:t>
            </w:r>
            <w:r w:rsidR="00C46C8E" w:rsidRPr="00C46C8E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1312A66A" w:rsidR="008B53FB" w:rsidRPr="00705755" w:rsidRDefault="00395EEF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715 960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6043A549" w14:textId="4A9A4F95" w:rsidR="008B53FB" w:rsidRPr="00705755" w:rsidRDefault="00395EEF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715 960</w:t>
            </w:r>
          </w:p>
        </w:tc>
      </w:tr>
      <w:tr w:rsidR="008B53FB" w:rsidRPr="00956188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="00B538BE"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956188" w14:paraId="1F657639" w14:textId="77777777" w:rsidTr="00CE45C3">
        <w:trPr>
          <w:trHeight w:val="1308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="00B538BE"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B53FB" w:rsidRPr="00CE7E2C" w14:paraId="20BC55B9" w14:textId="77777777" w:rsidTr="00D340EE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7479909" w:rsidR="00A1323F" w:rsidRPr="00CE7E2C" w:rsidRDefault="00CE7E2C" w:rsidP="004920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Pr="00CE7E2C">
              <w:rPr>
                <w:rFonts w:ascii="GHEA Grapalat" w:hAnsi="GHEA Grapalat" w:cs="Sylfaen"/>
                <w:i/>
                <w:lang w:val="ru-RU"/>
              </w:rPr>
              <w:t xml:space="preserve">, </w:t>
            </w:r>
            <w:r w:rsidRPr="00CE7E2C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«Гегаркуник Наири»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427CC6C" w:rsidR="00A1323F" w:rsidRPr="00CE7E2C" w:rsidRDefault="00103405" w:rsidP="00CE7E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ք.</w:t>
            </w: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  <w:r w:rsidR="00CE7E2C"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Գավառ, Գ</w:t>
            </w:r>
            <w:r w:rsidR="00CE7E2C" w:rsidRPr="00CE7E2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. </w:t>
            </w:r>
            <w:r w:rsidR="00CE7E2C"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Միքայելյան 19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1A93" w14:textId="05FC5A2D" w:rsidR="0084207F" w:rsidRPr="00CE7E2C" w:rsidRDefault="0084207F" w:rsidP="0084207F">
            <w:pPr>
              <w:pStyle w:val="Default"/>
              <w:rPr>
                <w:i/>
                <w:sz w:val="20"/>
                <w:szCs w:val="20"/>
                <w:lang w:val="hy-AM"/>
              </w:rPr>
            </w:pPr>
          </w:p>
          <w:p w14:paraId="07F71670" w14:textId="717460AA" w:rsidR="008B53FB" w:rsidRPr="00CE7E2C" w:rsidRDefault="00CE7E2C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gexarquniqnairi@mail.ru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BD99374" w:rsidR="008B53FB" w:rsidRPr="00CE7E2C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 w:rsidR="00103405"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220309604969000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3D4691A" w:rsidR="008B53FB" w:rsidRPr="00CE7E2C" w:rsidRDefault="008B53FB" w:rsidP="00103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 w:rsidR="00103405" w:rsidRPr="00CE7E2C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>61718934</w:t>
            </w:r>
          </w:p>
        </w:tc>
      </w:tr>
      <w:tr w:rsidR="008B53FB" w:rsidRPr="00CE7E2C" w14:paraId="223A7F8C" w14:textId="77777777" w:rsidTr="00D340EE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24C5B75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CE7E2C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956188" w14:paraId="3863A00B" w14:textId="77777777" w:rsidTr="008C4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Այլ տեղեկություններ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>։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 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8B53FB" w:rsidRPr="00956188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956188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յունը հրապարակվելուց հետո 3 (երեք)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բացակայության մասին.</w:t>
            </w:r>
          </w:p>
          <w:p w14:paraId="3FB2850F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E3B25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="00330F2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17585" w:rsidRPr="00705755" w:rsidRDefault="00330F2F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части данного лота настоящей процедуры, так и общественные организации, получавшие государственную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после опубликования настоящего заявления.</w:t>
            </w:r>
          </w:p>
          <w:p w14:paraId="5A4350B6" w14:textId="77777777" w:rsidR="00B17585" w:rsidRPr="00705755" w:rsidRDefault="00B17585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17585" w:rsidRPr="00705755" w:rsidRDefault="00B17585" w:rsidP="00B175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94E3E" w:rsidRPr="00705755" w:rsidRDefault="00B17585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</w:t>
            </w:r>
            <w:r w:rsidR="00394E3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лиц не может превысить двух,</w:t>
            </w:r>
          </w:p>
          <w:p w14:paraId="41C7BE02" w14:textId="77777777" w:rsidR="00394E3E" w:rsidRPr="00705755" w:rsidRDefault="00394E3E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84D92" w:rsidRPr="00705755" w:rsidRDefault="00394E3E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22BFD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32B3F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получивших государственную регистрацию в Республике Армения;</w:t>
            </w:r>
          </w:p>
          <w:p w14:paraId="366938C8" w14:textId="1EA4483A" w:rsidR="008B53FB" w:rsidRPr="00705755" w:rsidRDefault="00532B3F" w:rsidP="00532B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:</w:t>
            </w:r>
            <w:r w:rsidR="00522BFD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3FB" w:rsidRPr="00956188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956188" w14:paraId="5484FA73" w14:textId="77777777" w:rsidTr="008C429A">
        <w:trPr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956188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956188" w14:paraId="40B30E88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956188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956188" w14:paraId="4DE14D25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որոշումները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принятые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956188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956188" w14:paraId="5F667D89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956188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956188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               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B53FB" w:rsidRPr="00956188" w14:paraId="002AF1AD" w14:textId="77777777" w:rsidTr="008C429A">
        <w:trPr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8B53FB" w:rsidRPr="00705755" w14:paraId="6C6C269C" w14:textId="77777777" w:rsidTr="008C429A">
        <w:trPr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0A862370" w14:textId="3E4DC620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14:paraId="3C42DEDA" w14:textId="1EC6F118" w:rsidR="008B53FB" w:rsidRPr="00705755" w:rsidRDefault="008B53FB" w:rsidP="004C71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09F34D10" w14:textId="77777777" w:rsidR="0022631D" w:rsidRPr="0070575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strike/>
          <w:sz w:val="20"/>
          <w:szCs w:val="20"/>
          <w:lang w:val="ru-RU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34507" w14:textId="77777777" w:rsidR="00DF44C8" w:rsidRDefault="00DF44C8" w:rsidP="0022631D">
      <w:pPr>
        <w:spacing w:before="0" w:after="0"/>
      </w:pPr>
      <w:r>
        <w:separator/>
      </w:r>
    </w:p>
  </w:endnote>
  <w:endnote w:type="continuationSeparator" w:id="0">
    <w:p w14:paraId="457CC723" w14:textId="77777777" w:rsidR="00DF44C8" w:rsidRDefault="00DF44C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95421" w14:textId="77777777" w:rsidR="00DF44C8" w:rsidRDefault="00DF44C8" w:rsidP="0022631D">
      <w:pPr>
        <w:spacing w:before="0" w:after="0"/>
      </w:pPr>
      <w:r>
        <w:separator/>
      </w:r>
    </w:p>
  </w:footnote>
  <w:footnote w:type="continuationSeparator" w:id="0">
    <w:p w14:paraId="380B3A3A" w14:textId="77777777" w:rsidR="00DF44C8" w:rsidRDefault="00DF44C8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3484D" w:rsidRPr="002D0BF6" w:rsidRDefault="003348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3484D" w:rsidRPr="0078682E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3484D" w:rsidRPr="0078682E" w:rsidRDefault="003348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3484D" w:rsidRPr="00005B9C" w:rsidRDefault="003348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E183F"/>
    <w:rsid w:val="000E4FF1"/>
    <w:rsid w:val="000F376D"/>
    <w:rsid w:val="000F405C"/>
    <w:rsid w:val="000F4373"/>
    <w:rsid w:val="000F4408"/>
    <w:rsid w:val="001021B0"/>
    <w:rsid w:val="00103405"/>
    <w:rsid w:val="00107F05"/>
    <w:rsid w:val="00117673"/>
    <w:rsid w:val="00125485"/>
    <w:rsid w:val="00131124"/>
    <w:rsid w:val="00144217"/>
    <w:rsid w:val="001518A6"/>
    <w:rsid w:val="0015387A"/>
    <w:rsid w:val="001837D5"/>
    <w:rsid w:val="0018422F"/>
    <w:rsid w:val="00194B57"/>
    <w:rsid w:val="001A1999"/>
    <w:rsid w:val="001C1BE1"/>
    <w:rsid w:val="001E0091"/>
    <w:rsid w:val="001E39CB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7072A"/>
    <w:rsid w:val="00295B92"/>
    <w:rsid w:val="002B3248"/>
    <w:rsid w:val="002C50E6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54783"/>
    <w:rsid w:val="003614BD"/>
    <w:rsid w:val="00371B1D"/>
    <w:rsid w:val="00374AB4"/>
    <w:rsid w:val="00391C36"/>
    <w:rsid w:val="00394E3E"/>
    <w:rsid w:val="00395A74"/>
    <w:rsid w:val="00395EEF"/>
    <w:rsid w:val="003B2758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32494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6C2C"/>
    <w:rsid w:val="00573148"/>
    <w:rsid w:val="005737F9"/>
    <w:rsid w:val="0058251F"/>
    <w:rsid w:val="00585642"/>
    <w:rsid w:val="005A54ED"/>
    <w:rsid w:val="005A622F"/>
    <w:rsid w:val="005B6A50"/>
    <w:rsid w:val="005C585E"/>
    <w:rsid w:val="005D5FBD"/>
    <w:rsid w:val="005E4C76"/>
    <w:rsid w:val="006029D1"/>
    <w:rsid w:val="00607C9A"/>
    <w:rsid w:val="00623367"/>
    <w:rsid w:val="006235CE"/>
    <w:rsid w:val="00627C43"/>
    <w:rsid w:val="00635F2C"/>
    <w:rsid w:val="00646760"/>
    <w:rsid w:val="00690ECB"/>
    <w:rsid w:val="006A2FBE"/>
    <w:rsid w:val="006A38B4"/>
    <w:rsid w:val="006B2E21"/>
    <w:rsid w:val="006C0266"/>
    <w:rsid w:val="006D4CC0"/>
    <w:rsid w:val="006E0D92"/>
    <w:rsid w:val="006E1A83"/>
    <w:rsid w:val="006F2779"/>
    <w:rsid w:val="006F282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6378"/>
    <w:rsid w:val="00737EFA"/>
    <w:rsid w:val="007472D9"/>
    <w:rsid w:val="0075418B"/>
    <w:rsid w:val="007732E7"/>
    <w:rsid w:val="0078474B"/>
    <w:rsid w:val="0078682E"/>
    <w:rsid w:val="007B3092"/>
    <w:rsid w:val="007B44A4"/>
    <w:rsid w:val="007B4A51"/>
    <w:rsid w:val="007C6D46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D63"/>
    <w:rsid w:val="00942C68"/>
    <w:rsid w:val="009446C3"/>
    <w:rsid w:val="00951ED2"/>
    <w:rsid w:val="00956188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20D4A"/>
    <w:rsid w:val="00A306F5"/>
    <w:rsid w:val="00A31820"/>
    <w:rsid w:val="00A5017F"/>
    <w:rsid w:val="00A57DE8"/>
    <w:rsid w:val="00A62347"/>
    <w:rsid w:val="00A75B2F"/>
    <w:rsid w:val="00A90107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05106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3D4E"/>
    <w:rsid w:val="00BF1465"/>
    <w:rsid w:val="00BF4745"/>
    <w:rsid w:val="00C018EA"/>
    <w:rsid w:val="00C01997"/>
    <w:rsid w:val="00C04F32"/>
    <w:rsid w:val="00C2228C"/>
    <w:rsid w:val="00C22FF5"/>
    <w:rsid w:val="00C432D0"/>
    <w:rsid w:val="00C46484"/>
    <w:rsid w:val="00C46C8E"/>
    <w:rsid w:val="00C61CFE"/>
    <w:rsid w:val="00C6708D"/>
    <w:rsid w:val="00C84DF7"/>
    <w:rsid w:val="00C96337"/>
    <w:rsid w:val="00C96BED"/>
    <w:rsid w:val="00CB44D2"/>
    <w:rsid w:val="00CC1F23"/>
    <w:rsid w:val="00CE07F6"/>
    <w:rsid w:val="00CE45C3"/>
    <w:rsid w:val="00CE7E2C"/>
    <w:rsid w:val="00CF1F70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B7093"/>
    <w:rsid w:val="00DC375E"/>
    <w:rsid w:val="00DC6190"/>
    <w:rsid w:val="00DE06F1"/>
    <w:rsid w:val="00DE3B25"/>
    <w:rsid w:val="00DE5667"/>
    <w:rsid w:val="00DF44C8"/>
    <w:rsid w:val="00E01111"/>
    <w:rsid w:val="00E1269E"/>
    <w:rsid w:val="00E243EA"/>
    <w:rsid w:val="00E26139"/>
    <w:rsid w:val="00E32F23"/>
    <w:rsid w:val="00E33A25"/>
    <w:rsid w:val="00E34D57"/>
    <w:rsid w:val="00E4188B"/>
    <w:rsid w:val="00E43D9C"/>
    <w:rsid w:val="00E44269"/>
    <w:rsid w:val="00E54C4D"/>
    <w:rsid w:val="00E56328"/>
    <w:rsid w:val="00EA01A2"/>
    <w:rsid w:val="00EA568C"/>
    <w:rsid w:val="00EA767F"/>
    <w:rsid w:val="00EB59EE"/>
    <w:rsid w:val="00EC371E"/>
    <w:rsid w:val="00ED7FCD"/>
    <w:rsid w:val="00EE2C27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45DCB"/>
    <w:rsid w:val="00F50CBA"/>
    <w:rsid w:val="00F62CA3"/>
    <w:rsid w:val="00F64167"/>
    <w:rsid w:val="00F6673B"/>
    <w:rsid w:val="00F71061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30E26-66D7-413A-A8A0-6658303D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6</Pages>
  <Words>1936</Words>
  <Characters>11036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207</cp:revision>
  <cp:lastPrinted>2021-04-06T07:47:00Z</cp:lastPrinted>
  <dcterms:created xsi:type="dcterms:W3CDTF">2021-06-28T12:08:00Z</dcterms:created>
  <dcterms:modified xsi:type="dcterms:W3CDTF">2023-04-17T07:16:00Z</dcterms:modified>
</cp:coreProperties>
</file>