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EC30A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14:paraId="1CCD37CD" w14:textId="5A25B791" w:rsidR="0022631D" w:rsidRPr="00EC30A8" w:rsidRDefault="0022631D" w:rsidP="00EC30A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կնքված պայմանագրի մասին</w:t>
      </w:r>
    </w:p>
    <w:p w14:paraId="6D610C87" w14:textId="55FCE583" w:rsidR="0022631D" w:rsidRPr="006F54DF" w:rsidRDefault="00D32791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ներքին գործերի նախարարությունը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ք. Երևան Նալբանդյան 130 հասցեում,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F46FE5" w:rsidRPr="00F46FE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ապահովագրման ծառայությունների </w:t>
      </w:r>
      <w:r w:rsidR="003C51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="00602DF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F6DF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ԳՀԾՁԲ-2026/Ա-43</w:t>
      </w: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="0022631D" w:rsidRPr="0048135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296076" w:rsidRPr="0048135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8135D" w:rsidRPr="0048135D">
        <w:rPr>
          <w:rFonts w:ascii="GHEA Grapalat" w:eastAsia="Times New Roman" w:hAnsi="GHEA Grapalat" w:cs="Sylfaen"/>
          <w:sz w:val="20"/>
          <w:szCs w:val="20"/>
          <w:lang w:val="af-ZA" w:eastAsia="ru-RU"/>
        </w:rPr>
        <w:t>08.</w:t>
      </w:r>
      <w:r w:rsidR="00FF6DFE" w:rsidRPr="0048135D">
        <w:rPr>
          <w:rFonts w:ascii="GHEA Grapalat" w:eastAsia="Times New Roman" w:hAnsi="GHEA Grapalat" w:cs="Sylfaen"/>
          <w:sz w:val="20"/>
          <w:szCs w:val="20"/>
          <w:lang w:val="hy-AM" w:eastAsia="ru-RU"/>
        </w:rPr>
        <w:t>05.2026</w:t>
      </w:r>
      <w:r w:rsidR="00B45B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թվականին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877B3D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  <w:r w:rsidR="004B6E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3F2A9659" w14:textId="77777777" w:rsidR="0022631D" w:rsidRPr="00EC30A8" w:rsidRDefault="0022631D" w:rsidP="00D57869">
      <w:pPr>
        <w:spacing w:before="0"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6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1538"/>
        <w:gridCol w:w="810"/>
        <w:gridCol w:w="826"/>
        <w:gridCol w:w="811"/>
        <w:gridCol w:w="1270"/>
        <w:gridCol w:w="1323"/>
        <w:gridCol w:w="1800"/>
        <w:gridCol w:w="1800"/>
      </w:tblGrid>
      <w:tr w:rsidR="0022631D" w:rsidRPr="00EC30A8" w14:paraId="3BCB0F4A" w14:textId="77777777" w:rsidTr="00EC0009">
        <w:trPr>
          <w:trHeight w:val="146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</w:p>
        </w:tc>
        <w:tc>
          <w:tcPr>
            <w:tcW w:w="10178" w:type="dxa"/>
            <w:gridSpan w:val="8"/>
            <w:shd w:val="clear" w:color="auto" w:fill="auto"/>
            <w:vAlign w:val="center"/>
          </w:tcPr>
          <w:p w14:paraId="47A5B985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</w:p>
        </w:tc>
      </w:tr>
      <w:tr w:rsidR="0022631D" w:rsidRPr="00EC30A8" w14:paraId="796D388F" w14:textId="77777777" w:rsidTr="00EC0009">
        <w:trPr>
          <w:trHeight w:val="110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EC30A8" w:rsidRDefault="0022631D" w:rsidP="000642B4">
            <w:pPr>
              <w:widowControl w:val="0"/>
              <w:tabs>
                <w:tab w:val="left" w:pos="60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չափաբաժնի համարը</w:t>
            </w:r>
          </w:p>
        </w:tc>
        <w:tc>
          <w:tcPr>
            <w:tcW w:w="1538" w:type="dxa"/>
            <w:vMerge w:val="restart"/>
            <w:shd w:val="clear" w:color="auto" w:fill="auto"/>
            <w:vAlign w:val="center"/>
          </w:tcPr>
          <w:p w14:paraId="0C83F2D3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3D073E87" w14:textId="37128837" w:rsidR="0022631D" w:rsidRPr="00EC3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59F68B85" w14:textId="45A06A4A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քանակը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62535C4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330836BC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5D28987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EC30A8" w14:paraId="02BE1D52" w14:textId="77777777" w:rsidTr="00EC0009">
        <w:trPr>
          <w:trHeight w:val="175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vMerge/>
            <w:shd w:val="clear" w:color="auto" w:fill="auto"/>
            <w:vAlign w:val="center"/>
          </w:tcPr>
          <w:p w14:paraId="528BE8B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5C6C06A7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374821C4" w14:textId="3205D9FB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vMerge w:val="restart"/>
            <w:shd w:val="clear" w:color="auto" w:fill="auto"/>
            <w:vAlign w:val="center"/>
          </w:tcPr>
          <w:p w14:paraId="654421A9" w14:textId="77777777" w:rsidR="0022631D" w:rsidRPr="00EC3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01CC38D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/ՀՀ դրամ/</w:t>
            </w:r>
          </w:p>
        </w:tc>
        <w:tc>
          <w:tcPr>
            <w:tcW w:w="1800" w:type="dxa"/>
            <w:vMerge/>
            <w:shd w:val="clear" w:color="auto" w:fill="auto"/>
          </w:tcPr>
          <w:p w14:paraId="12AD9841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8B6AAAB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2631D" w:rsidRPr="00EC30A8" w14:paraId="688F77C8" w14:textId="77777777" w:rsidTr="00EC0009">
        <w:trPr>
          <w:trHeight w:val="646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1A824F" w:rsidR="0022631D" w:rsidRPr="00EC30A8" w:rsidRDefault="0022631D" w:rsidP="00666B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EC0009" w:rsidRPr="003B0849" w14:paraId="6CB0AC86" w14:textId="77777777" w:rsidTr="00EC0009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2F33415" w14:textId="4945BE47" w:rsidR="00EC0009" w:rsidRPr="00753E26" w:rsidRDefault="00EC0009" w:rsidP="00EC0009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A0C69D3" w14:textId="77777777" w:rsidR="00EC0009" w:rsidRPr="006819DB" w:rsidRDefault="00EC0009" w:rsidP="00EC00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 w:rsidRPr="006819DB">
              <w:rPr>
                <w:rFonts w:ascii="GHEA Grapalat" w:hAnsi="GHEA Grapalat"/>
                <w:sz w:val="18"/>
              </w:rPr>
              <w:t>Ապահովագրական ծախսեր «Կասկո»</w:t>
            </w:r>
          </w:p>
          <w:p w14:paraId="2721F035" w14:textId="4C1AAD99" w:rsidR="00EC0009" w:rsidRPr="00EC30A8" w:rsidRDefault="00EC0009" w:rsidP="00EC00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6819DB">
              <w:rPr>
                <w:rFonts w:ascii="GHEA Grapalat" w:hAnsi="GHEA Grapalat"/>
                <w:sz w:val="18"/>
              </w:rPr>
              <w:t xml:space="preserve">CPV- </w:t>
            </w:r>
            <w:r w:rsidRPr="00EC0009">
              <w:rPr>
                <w:rFonts w:ascii="GHEA Grapalat" w:hAnsi="GHEA Grapalat"/>
                <w:sz w:val="18"/>
              </w:rPr>
              <w:t>66511180/504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08EE47" w14:textId="24314231" w:rsidR="00EC0009" w:rsidRPr="00EC30A8" w:rsidRDefault="00EC0009" w:rsidP="00EC00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AA0F81" w14:textId="2B6F287F" w:rsidR="00EC0009" w:rsidRPr="00C238B5" w:rsidRDefault="00EC0009" w:rsidP="00EC00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021AF6A" w14:textId="2AA14B13" w:rsidR="00EC0009" w:rsidRPr="00A76924" w:rsidRDefault="00EC0009" w:rsidP="00EC00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7535066" w14:textId="1D6AF614" w:rsidR="00EC0009" w:rsidRPr="00EC30A8" w:rsidRDefault="00EC0009" w:rsidP="00EC00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2401932" w14:textId="21C83216" w:rsidR="00EC0009" w:rsidRPr="00EC30A8" w:rsidRDefault="00EC0009" w:rsidP="00EC00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00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76 635 000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C643449" w14:textId="77777777" w:rsidR="00EC0009" w:rsidRPr="00015394" w:rsidRDefault="00EC0009" w:rsidP="00EC0009">
            <w:pPr>
              <w:ind w:left="-14" w:firstLine="14"/>
              <w:contextualSpacing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1539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Ավտոտրանսպորտային միջոցների Կասկո ապահովագրություն </w:t>
            </w:r>
          </w:p>
          <w:p w14:paraId="5B36B7B9" w14:textId="77777777" w:rsidR="00EC0009" w:rsidRPr="00015394" w:rsidRDefault="00EC0009" w:rsidP="00EC0009">
            <w:pPr>
              <w:ind w:left="-14" w:firstLine="14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16"/>
                  <w:szCs w:val="16"/>
                  <w:lang w:val="hy-AM"/>
                </w:rPr>
                <m:t>°</m:t>
              </m:r>
            </m:oMath>
            <w:r w:rsidRPr="0001539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</w:t>
            </w:r>
            <w:r w:rsidRPr="00015394">
              <w:rPr>
                <w:rFonts w:ascii="GHEA Grapalat" w:hAnsi="GHEA Grapalat"/>
                <w:sz w:val="16"/>
                <w:szCs w:val="16"/>
                <w:lang w:val="hy-AM"/>
              </w:rPr>
              <w:t>ՀՀ ՆԳՆ ՏՎ հաշվեկշռում հաշվառված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65 միավոր</w:t>
            </w:r>
            <w:r w:rsidRPr="00015394">
              <w:rPr>
                <w:rFonts w:ascii="GHEA Grapalat" w:hAnsi="GHEA Grapalat"/>
                <w:sz w:val="16"/>
                <w:szCs w:val="16"/>
                <w:lang w:val="hy-AM"/>
              </w:rPr>
              <w:t xml:space="preserve"> տրանսպոտային միջոցների ԿԱՍԿՈ ապահովագրություն  </w:t>
            </w:r>
          </w:p>
          <w:p w14:paraId="5D3320ED" w14:textId="77777777" w:rsidR="00EC0009" w:rsidRPr="00015394" w:rsidRDefault="00EC0009" w:rsidP="00EC0009">
            <w:pPr>
              <w:ind w:left="-14" w:firstLine="14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D831372" w14:textId="77777777" w:rsidR="00EC0009" w:rsidRPr="00015394" w:rsidRDefault="00EC0009" w:rsidP="00EC0009">
            <w:pPr>
              <w:ind w:left="-14" w:firstLine="14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5394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Հատուցման պետք է ենթակա լինի՝</w:t>
            </w:r>
          </w:p>
          <w:p w14:paraId="788DACBD" w14:textId="77777777" w:rsidR="00EC0009" w:rsidRPr="00015394" w:rsidRDefault="00EC0009" w:rsidP="00EC0009">
            <w:pPr>
              <w:numPr>
                <w:ilvl w:val="0"/>
                <w:numId w:val="5"/>
              </w:numPr>
              <w:spacing w:before="0" w:after="200"/>
              <w:ind w:left="-14" w:firstLine="14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5394">
              <w:rPr>
                <w:rFonts w:ascii="GHEA Grapalat" w:hAnsi="GHEA Grapalat"/>
                <w:sz w:val="16"/>
                <w:szCs w:val="16"/>
                <w:lang w:val="hy-AM"/>
              </w:rPr>
              <w:t xml:space="preserve">ՏՄ-ին, այդ թվում դիմապակու, հետնապակու, կողային ապակիներին և ընթացային մասերին պատճառված ֆիզիկական վնասը և կամ դրա կորուստը </w:t>
            </w:r>
          </w:p>
          <w:p w14:paraId="6E28D4EE" w14:textId="77777777" w:rsidR="00EC0009" w:rsidRPr="00015394" w:rsidRDefault="00EC0009" w:rsidP="00EC0009">
            <w:pPr>
              <w:numPr>
                <w:ilvl w:val="0"/>
                <w:numId w:val="4"/>
              </w:numPr>
              <w:spacing w:before="0" w:after="200"/>
              <w:ind w:left="-14" w:firstLine="14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5394">
              <w:rPr>
                <w:rFonts w:ascii="GHEA Grapalat" w:hAnsi="GHEA Grapalat"/>
                <w:sz w:val="16"/>
                <w:szCs w:val="16"/>
                <w:lang w:val="hy-AM"/>
              </w:rPr>
              <w:t>ՃՏՊ ճանապարհով ՏՄ-ի շարժման ընթացքում կամ կանգառի վիճակում դրա մասնակցությամբ առաջացած դեպքը</w:t>
            </w:r>
          </w:p>
          <w:p w14:paraId="2F7D9B7C" w14:textId="77777777" w:rsidR="00EC0009" w:rsidRPr="00015394" w:rsidRDefault="00EC0009" w:rsidP="00EC0009">
            <w:pPr>
              <w:numPr>
                <w:ilvl w:val="0"/>
                <w:numId w:val="4"/>
              </w:numPr>
              <w:spacing w:before="0" w:after="200"/>
              <w:ind w:left="-14" w:firstLine="14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5394">
              <w:rPr>
                <w:rFonts w:ascii="GHEA Grapalat" w:hAnsi="GHEA Grapalat"/>
                <w:sz w:val="16"/>
                <w:szCs w:val="16"/>
                <w:lang w:val="hy-AM"/>
              </w:rPr>
              <w:t>Բնական/տարերային աղետներ-/բացառությամբ երկրաշարժ և սողանք/ բնության ազդեցությունը ՏՄ-ի վրա/ օդային զանգվածի տեղաշարժումներ, փոթորիկ մրրիկ,կայծակի,հարված,ջրհեղեղ,  կարկուտ,հրաբխի ժայթում, լեռնային փլուզում, գետնի նստվածք,սելավ,ձնահյուս</w:t>
            </w:r>
          </w:p>
          <w:p w14:paraId="00C2A29E" w14:textId="77777777" w:rsidR="00EC0009" w:rsidRPr="00015394" w:rsidRDefault="00EC0009" w:rsidP="00EC0009">
            <w:pPr>
              <w:numPr>
                <w:ilvl w:val="0"/>
                <w:numId w:val="4"/>
              </w:numPr>
              <w:spacing w:before="0" w:after="200"/>
              <w:ind w:left="-14" w:firstLine="14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5394">
              <w:rPr>
                <w:rFonts w:ascii="GHEA Grapalat" w:hAnsi="GHEA Grapalat"/>
                <w:sz w:val="16"/>
                <w:szCs w:val="16"/>
                <w:lang w:val="hy-AM"/>
              </w:rPr>
              <w:t>Կենդանիների գործողություններ։</w:t>
            </w:r>
          </w:p>
          <w:p w14:paraId="45E52E36" w14:textId="77777777" w:rsidR="00EC0009" w:rsidRPr="00015394" w:rsidRDefault="00EC0009" w:rsidP="00EC0009">
            <w:pPr>
              <w:numPr>
                <w:ilvl w:val="0"/>
                <w:numId w:val="4"/>
              </w:numPr>
              <w:spacing w:before="0" w:after="200"/>
              <w:ind w:left="-14" w:firstLine="14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5394">
              <w:rPr>
                <w:rFonts w:ascii="GHEA Grapalat" w:hAnsi="GHEA Grapalat"/>
                <w:sz w:val="16"/>
                <w:szCs w:val="16"/>
                <w:lang w:val="hy-AM"/>
              </w:rPr>
              <w:t xml:space="preserve">Թռչող սարքավորումների կամ նրանց </w:t>
            </w:r>
            <w:r w:rsidRPr="0001539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բեկորների և/կամ մասերի կամ այլ առարկաների և իրերի շինարարական բեկորների, ձյան, սառույցի վայր ընկնելը, </w:t>
            </w:r>
            <w:r w:rsidRPr="0001539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կոնստրուկցիաների հետ բախումը ՏՄ-ի հետ կամ դրանց վայր ընկնելը ՏՄ-ի վրա , ինչպես նաև ծառերի, քարերի, բեկորների, ձյան, սառույցի վայր ընկնելը ՏՄ-ի վրա, ՏՄ-ն ջրի մեջ ընկնելը</w:t>
            </w:r>
          </w:p>
          <w:p w14:paraId="042AAAE8" w14:textId="77777777" w:rsidR="00EC0009" w:rsidRPr="00F82618" w:rsidRDefault="00EC0009" w:rsidP="00EC0009">
            <w:pPr>
              <w:ind w:left="-14" w:firstLine="14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539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չվերահսկվող այրում և/կամ մեծ հարվածային ուժով էներգիայի կտրուկ արագության միանվագ առաջացումը</w:t>
            </w:r>
          </w:p>
          <w:p w14:paraId="73EB4AB0" w14:textId="77777777" w:rsidR="00EC0009" w:rsidRPr="00015394" w:rsidRDefault="00EC0009" w:rsidP="00EC0009">
            <w:pPr>
              <w:numPr>
                <w:ilvl w:val="0"/>
                <w:numId w:val="4"/>
              </w:numPr>
              <w:spacing w:before="0" w:after="200"/>
              <w:ind w:left="-14" w:firstLine="14"/>
              <w:contextualSpacing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1539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Երրորդ անձանց կողմից թույլ տրված անօրինական գործողություններ կամ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նման</w:t>
            </w:r>
            <w:r w:rsidRPr="0001539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գործողությունների փորձ, այդ թվում՝ ֆիզիկական ուժի գործադրումով, ներառյալ դրանց հետևանքով ՏՄ-ի հրկիզում,պայթեցում, վնաս և/կամ կորուստը</w:t>
            </w:r>
          </w:p>
          <w:p w14:paraId="249D3BEC" w14:textId="77777777" w:rsidR="00EC0009" w:rsidRPr="00015394" w:rsidRDefault="00EC0009" w:rsidP="00EC0009">
            <w:pPr>
              <w:numPr>
                <w:ilvl w:val="0"/>
                <w:numId w:val="4"/>
              </w:numPr>
              <w:spacing w:before="0" w:after="200"/>
              <w:ind w:left="-14" w:firstLine="14"/>
              <w:contextualSpacing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1539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Երրորդ անձանց կողմից անզգուշությամբ թույլ տրված անօրինական գործողությունները</w:t>
            </w:r>
          </w:p>
          <w:p w14:paraId="3F109B7C" w14:textId="77777777" w:rsidR="00EC0009" w:rsidRPr="00015394" w:rsidRDefault="00EC0009" w:rsidP="00EC0009">
            <w:pPr>
              <w:numPr>
                <w:ilvl w:val="0"/>
                <w:numId w:val="4"/>
              </w:numPr>
              <w:spacing w:before="0" w:after="200"/>
              <w:ind w:left="-14" w:firstLine="14"/>
              <w:contextualSpacing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1539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ՏՄ-ի կամ նրա մասերի գողություն կամ դրա փորձը</w:t>
            </w:r>
          </w:p>
          <w:p w14:paraId="7B29BA36" w14:textId="77777777" w:rsidR="00EC0009" w:rsidRPr="008F05BE" w:rsidRDefault="00EC0009" w:rsidP="00EC0009">
            <w:pPr>
              <w:numPr>
                <w:ilvl w:val="0"/>
                <w:numId w:val="4"/>
              </w:numPr>
              <w:spacing w:before="0" w:after="200"/>
              <w:ind w:left="-14" w:firstLine="14"/>
              <w:contextualSpacing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1539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ՏՄ-Ի կամ նրա մասերի կողոպուտ կամ դրա փորձը</w:t>
            </w:r>
          </w:p>
          <w:p w14:paraId="0AD9A57A" w14:textId="77777777" w:rsidR="00EC0009" w:rsidRPr="008F05BE" w:rsidRDefault="00EC0009" w:rsidP="00EC0009">
            <w:pPr>
              <w:ind w:left="-14" w:firstLine="14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F05BE">
              <w:rPr>
                <w:rFonts w:ascii="GHEA Grapalat" w:hAnsi="GHEA Grapalat" w:cs="Calibri"/>
                <w:sz w:val="16"/>
                <w:szCs w:val="16"/>
                <w:lang w:val="hy-AM"/>
              </w:rPr>
              <w:t>•</w:t>
            </w:r>
            <w:r w:rsidRPr="008F05BE">
              <w:rPr>
                <w:rFonts w:ascii="GHEA Grapalat" w:hAnsi="GHEA Grapalat" w:cs="Calibri"/>
                <w:sz w:val="16"/>
                <w:szCs w:val="16"/>
                <w:lang w:val="hy-AM"/>
              </w:rPr>
              <w:tab/>
              <w:t xml:space="preserve">ՏՄ հայելիների, անվադողերի, անվահեծերի, անիվների դեկորատիվ ծածկերի, հաշվառման համարանիշների, չեզոքացուցիչների, լապտերների, ֆիրմային ցուցանիշների, արտաքին այլ տեղադրված մասերի և սարքավորումների, այդ թվում՝ </w:t>
            </w:r>
            <w:r w:rsidRPr="008F05BE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սպոյլերների, մոլդինգների ֆիզիկական վնասը և հափշտակությունը</w:t>
            </w:r>
          </w:p>
          <w:p w14:paraId="5AADF689" w14:textId="77777777" w:rsidR="00EC0009" w:rsidRPr="008F05BE" w:rsidRDefault="00EC0009" w:rsidP="00EC0009">
            <w:pPr>
              <w:ind w:left="-14" w:firstLine="14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F05BE">
              <w:rPr>
                <w:rFonts w:ascii="GHEA Grapalat" w:hAnsi="GHEA Grapalat" w:cs="Calibri"/>
                <w:sz w:val="16"/>
                <w:szCs w:val="16"/>
                <w:lang w:val="hy-AM"/>
              </w:rPr>
              <w:t>-</w:t>
            </w:r>
            <w:r w:rsidRPr="008F05BE">
              <w:rPr>
                <w:rFonts w:ascii="GHEA Grapalat" w:hAnsi="GHEA Grapalat" w:cs="Calibri"/>
                <w:sz w:val="16"/>
                <w:szCs w:val="16"/>
                <w:lang w:val="hy-AM"/>
              </w:rPr>
              <w:tab/>
              <w:t>Եթե վթարը տեղի է ունեցել ՏՄ-ի հանդիպակաց ուղեմաս մուտք գործելու կամ ճանապարհի երթևեկելի մասի ձախ կողմից դուրս գալու արդյունքում կամ ընթացքում/ այդ թվում՝ ՏՄ-ի ընթացքի կայունությունն ու կառավարելիությունը կորցնելու կամ վար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ո</w:t>
            </w:r>
            <w:r w:rsidRPr="008F05BE">
              <w:rPr>
                <w:rFonts w:ascii="GHEA Grapalat" w:hAnsi="GHEA Grapalat" w:cs="Calibri"/>
                <w:sz w:val="16"/>
                <w:szCs w:val="16"/>
                <w:lang w:val="hy-AM"/>
              </w:rPr>
              <w:t>րդի կողմից երթևեկելի մասում առկա խոչնդոտը կամ վտանգի աղբյուրը շրջանցելու հետևանքով</w:t>
            </w:r>
          </w:p>
          <w:p w14:paraId="5ED7CEF8" w14:textId="77777777" w:rsidR="00EC0009" w:rsidRPr="00615D12" w:rsidRDefault="00EC0009" w:rsidP="00EC0009">
            <w:pPr>
              <w:ind w:left="-14" w:firstLine="14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05BE">
              <w:rPr>
                <w:rFonts w:ascii="GHEA Grapalat" w:hAnsi="GHEA Grapalat" w:cs="Calibri"/>
                <w:sz w:val="16"/>
                <w:szCs w:val="16"/>
                <w:lang w:val="hy-AM"/>
              </w:rPr>
              <w:t>-</w:t>
            </w:r>
            <w:r w:rsidRPr="008F05BE">
              <w:rPr>
                <w:rFonts w:ascii="GHEA Grapalat" w:hAnsi="GHEA Grapalat" w:cs="Calibri"/>
                <w:sz w:val="16"/>
                <w:szCs w:val="16"/>
                <w:lang w:val="hy-AM"/>
              </w:rPr>
              <w:tab/>
              <w:t>Եթե խախտվել են ՀՀ կառավարության 2007 թ</w:t>
            </w:r>
            <w:r w:rsidRPr="008F05BE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8F05B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հունիսի 28-ի համար 9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5</w:t>
            </w:r>
            <w:r w:rsidRPr="008F05BE">
              <w:rPr>
                <w:rFonts w:ascii="GHEA Grapalat" w:hAnsi="GHEA Grapalat" w:cs="Calibri"/>
                <w:sz w:val="16"/>
                <w:szCs w:val="16"/>
                <w:lang w:val="hy-AM"/>
              </w:rPr>
              <w:t>5-Ն որոշման հավելված 1-ով սահմանված հետևյալ ՃՏՊ-ի կանոնները՝ ՏՄ-ի վարում լուսացույցի արգելող ազդանշանի տակ, արգելված վայրում ՏՄ-ի հետադարձ, շրջադարձ կամ հետընթաց կատարում, ՏՄ-ով հոծ գծանշման հատում, ՏՄ-ի շահագործում տվյալ ճանապարհահատվածի համար սահմանված /թույլատրված/ արագությունից 30 կմ/ժ -ով ավելի արագությամ</w:t>
            </w:r>
          </w:p>
          <w:p w14:paraId="182BDAD6" w14:textId="77777777" w:rsidR="00EC0009" w:rsidRPr="00615D12" w:rsidRDefault="00EC0009" w:rsidP="00EC0009">
            <w:pPr>
              <w:ind w:left="-14" w:firstLine="14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4259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Չհատուցվող գումար՝ Ֆիզիկական վնասի և/կամ կորստի դեպքում յուրաքանչյուր ավտոմեքենայի և դեպքի համար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չի նախատեսվում</w:t>
            </w:r>
            <w:r w:rsidRPr="00E54259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։ Հափշտակության դեպքում` վնասի օրվա դրությամբ </w:t>
            </w:r>
            <w:r w:rsidRPr="002B4430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առավելագույնը 1 Տ/Մ-ի </w:t>
            </w:r>
            <w:r w:rsidRPr="00E54259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ապահովագրական գումարի 10%, իսկ հակաառևանգիչ </w:t>
            </w:r>
            <w:r w:rsidRPr="00E54259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 xml:space="preserve">սարքավորման առկայության դեպքում` </w:t>
            </w:r>
            <w:r w:rsidRPr="002B4430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առավելագույնը 1 Տ/Մ-ի </w:t>
            </w:r>
            <w:r w:rsidRPr="00E54259">
              <w:rPr>
                <w:rFonts w:ascii="GHEA Grapalat" w:hAnsi="GHEA Grapalat" w:cs="Calibri"/>
                <w:sz w:val="16"/>
                <w:szCs w:val="16"/>
                <w:lang w:val="hy-AM"/>
              </w:rPr>
              <w:t>ապահովագրական գումարի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E54259">
              <w:rPr>
                <w:rFonts w:ascii="GHEA Grapalat" w:hAnsi="GHEA Grapalat" w:cs="Calibri"/>
                <w:sz w:val="16"/>
                <w:szCs w:val="16"/>
                <w:lang w:val="hy-AM"/>
              </w:rPr>
              <w:t>5%:</w:t>
            </w:r>
          </w:p>
          <w:p w14:paraId="6576F5F1" w14:textId="77777777" w:rsidR="00EC0009" w:rsidRDefault="00EC0009" w:rsidP="00EC0009">
            <w:pPr>
              <w:ind w:left="-14" w:firstLine="14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Եթե տրասնպորտային միջոցները գտնվում են երաշխիքային սպասարկման մեջ, ուստի դրանց վերանորոգումը մինչև երաշխիքային սպասարկման ավարտը պետք է կատարվի երաշխիքային սպասարկում տրամադրող &lt;&lt;Ավանգարտ&gt;&gt; ՍՊԸ-ի կողմից մատնանշված վերանորոգման կետում՝ բացառելու համար երաշխիքային սպասարկումից դուրս գալը, իսկ պահեստամասերը պետք է տեղադրվեն բացառապես ավտոարտադրողի կողմից ներկրված գրոծարանային արտադրության՝ չկիրառելով մաշվածության գործակիցներ։Երաշխիքային սպասարկումից դուրս եկած ավտոմեքենաները կարող են վերանորոգվել նաև ապահովագրողների բյուրոյի կողմից նվազագույն պահանջներին բավարարող ընկերություններում, սակայն պահեստամասերը նույնպես պետք է տեղադրվեն բացառապես ավտոարտադրողի կողմից ներկրված գործարանային արտադրության:Ընդ որում, թե երաշխիքային սպասարկման մեջ գտնվող, և թե Երաշխիքային սպասարկումից դուրս եկած տրանսպորտային միջոցներին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հասցված վնասի գնահատման հաշվարկի ժամանակ չպետք է կիրառվեն մաշվածության գործակիցներ՝ անկած տրանսպորտային միջոցի տարեթվից,կատարված վազքից կամ այլ գործոններից։</w:t>
            </w:r>
          </w:p>
          <w:p w14:paraId="1FC61337" w14:textId="77777777" w:rsidR="00EC0009" w:rsidRDefault="00EC0009" w:rsidP="00EC0009">
            <w:pPr>
              <w:ind w:left="-14" w:firstLine="14"/>
              <w:jc w:val="right"/>
              <w:rPr>
                <w:rFonts w:ascii="GHEA Grapalat" w:hAnsi="GHEA Grapalat" w:cs="Sylfaen"/>
                <w:b/>
                <w:lang w:val="hy-AM"/>
              </w:rPr>
            </w:pPr>
          </w:p>
          <w:p w14:paraId="0CDBF7B4" w14:textId="77777777" w:rsidR="00EC0009" w:rsidRPr="00117778" w:rsidRDefault="00EC0009" w:rsidP="00EC0009">
            <w:pPr>
              <w:ind w:left="-14" w:firstLine="14"/>
              <w:jc w:val="right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Հ</w:t>
            </w:r>
            <w:r w:rsidRPr="007A2160">
              <w:rPr>
                <w:rFonts w:ascii="GHEA Grapalat" w:hAnsi="GHEA Grapalat" w:cs="Sylfaen"/>
                <w:b/>
                <w:lang w:val="hy-AM"/>
              </w:rPr>
              <w:t>ավելված 1</w:t>
            </w:r>
            <w:r>
              <w:rPr>
                <w:rFonts w:ascii="GHEA Grapalat" w:hAnsi="GHEA Grapalat" w:cs="Sylfaen"/>
                <w:b/>
                <w:lang w:val="hy-AM"/>
              </w:rPr>
              <w:t>.1</w:t>
            </w:r>
          </w:p>
          <w:p w14:paraId="1013593A" w14:textId="52445C07" w:rsidR="00EC0009" w:rsidRPr="00BC2EEA" w:rsidRDefault="00EC0009" w:rsidP="00EC0009">
            <w:pPr>
              <w:tabs>
                <w:tab w:val="left" w:pos="1248"/>
              </w:tabs>
              <w:spacing w:before="0" w:after="0"/>
              <w:ind w:left="-14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0F08AF9" w14:textId="77777777" w:rsidR="00EC0009" w:rsidRPr="00015394" w:rsidRDefault="00EC0009" w:rsidP="00EC0009">
            <w:pPr>
              <w:ind w:left="-14" w:firstLine="14"/>
              <w:contextualSpacing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1539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 xml:space="preserve">Ավտոտրանսպորտային միջոցների Կասկո ապահովագրություն </w:t>
            </w:r>
          </w:p>
          <w:p w14:paraId="0710621B" w14:textId="77777777" w:rsidR="00EC0009" w:rsidRPr="00015394" w:rsidRDefault="00EC0009" w:rsidP="00EC0009">
            <w:pPr>
              <w:ind w:left="-14" w:firstLine="14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16"/>
                  <w:szCs w:val="16"/>
                  <w:lang w:val="hy-AM"/>
                </w:rPr>
                <m:t>°</m:t>
              </m:r>
            </m:oMath>
            <w:r w:rsidRPr="0001539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</w:t>
            </w:r>
            <w:r w:rsidRPr="00015394">
              <w:rPr>
                <w:rFonts w:ascii="GHEA Grapalat" w:hAnsi="GHEA Grapalat"/>
                <w:sz w:val="16"/>
                <w:szCs w:val="16"/>
                <w:lang w:val="hy-AM"/>
              </w:rPr>
              <w:t>ՀՀ ՆԳՆ ՏՎ հաշվեկշռում հաշվառված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65 միավոր</w:t>
            </w:r>
            <w:r w:rsidRPr="00015394">
              <w:rPr>
                <w:rFonts w:ascii="GHEA Grapalat" w:hAnsi="GHEA Grapalat"/>
                <w:sz w:val="16"/>
                <w:szCs w:val="16"/>
                <w:lang w:val="hy-AM"/>
              </w:rPr>
              <w:t xml:space="preserve"> տրանսպոտային միջոցների ԿԱՍԿՈ ապահովագրություն  </w:t>
            </w:r>
          </w:p>
          <w:p w14:paraId="1A904BA6" w14:textId="77777777" w:rsidR="00EC0009" w:rsidRPr="00015394" w:rsidRDefault="00EC0009" w:rsidP="00EC0009">
            <w:pPr>
              <w:ind w:left="-14" w:firstLine="14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CB2EEBB" w14:textId="77777777" w:rsidR="00EC0009" w:rsidRPr="00015394" w:rsidRDefault="00EC0009" w:rsidP="00EC0009">
            <w:pPr>
              <w:ind w:left="-14" w:firstLine="14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5394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Հատուցման պետք է ենթակա լինի՝</w:t>
            </w:r>
          </w:p>
          <w:p w14:paraId="677D4416" w14:textId="77777777" w:rsidR="00EC0009" w:rsidRPr="00015394" w:rsidRDefault="00EC0009" w:rsidP="00EC0009">
            <w:pPr>
              <w:numPr>
                <w:ilvl w:val="0"/>
                <w:numId w:val="5"/>
              </w:numPr>
              <w:spacing w:before="0" w:after="200"/>
              <w:ind w:left="-14" w:firstLine="14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5394">
              <w:rPr>
                <w:rFonts w:ascii="GHEA Grapalat" w:hAnsi="GHEA Grapalat"/>
                <w:sz w:val="16"/>
                <w:szCs w:val="16"/>
                <w:lang w:val="hy-AM"/>
              </w:rPr>
              <w:t xml:space="preserve">ՏՄ-ին, այդ թվում դիմապակու, հետնապակու, կողային ապակիներին և ընթացային մասերին պատճառված ֆիզիկական վնասը և կամ դրա կորուստը </w:t>
            </w:r>
          </w:p>
          <w:p w14:paraId="4BA9FD1F" w14:textId="77777777" w:rsidR="00EC0009" w:rsidRPr="00015394" w:rsidRDefault="00EC0009" w:rsidP="00EC0009">
            <w:pPr>
              <w:numPr>
                <w:ilvl w:val="0"/>
                <w:numId w:val="4"/>
              </w:numPr>
              <w:spacing w:before="0" w:after="200"/>
              <w:ind w:left="-14" w:firstLine="14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5394">
              <w:rPr>
                <w:rFonts w:ascii="GHEA Grapalat" w:hAnsi="GHEA Grapalat"/>
                <w:sz w:val="16"/>
                <w:szCs w:val="16"/>
                <w:lang w:val="hy-AM"/>
              </w:rPr>
              <w:t>ՃՏՊ ճանապարհով ՏՄ-ի շարժման ընթացքում կամ կանգառի վիճակում դրա մասնակցությամբ առաջացած դեպքը</w:t>
            </w:r>
          </w:p>
          <w:p w14:paraId="53607523" w14:textId="77777777" w:rsidR="00EC0009" w:rsidRPr="00015394" w:rsidRDefault="00EC0009" w:rsidP="00EC0009">
            <w:pPr>
              <w:numPr>
                <w:ilvl w:val="0"/>
                <w:numId w:val="4"/>
              </w:numPr>
              <w:spacing w:before="0" w:after="200"/>
              <w:ind w:left="-14" w:firstLine="14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5394">
              <w:rPr>
                <w:rFonts w:ascii="GHEA Grapalat" w:hAnsi="GHEA Grapalat"/>
                <w:sz w:val="16"/>
                <w:szCs w:val="16"/>
                <w:lang w:val="hy-AM"/>
              </w:rPr>
              <w:t>Բնական/տարերային աղետներ-/բացառությամբ երկրաշարժ և սողանք/ բնության ազդեցությունը ՏՄ-ի վրա/ օդային զանգվածի տեղաշարժումներ, փոթորիկ մրրիկ,կայծակի,հարված,ջրհեղեղ,  կարկուտ,հրաբխի ժայթում, լեռնային փլուզում, գետնի նստվածք,սելավ,ձնահյուս</w:t>
            </w:r>
          </w:p>
          <w:p w14:paraId="367AA89E" w14:textId="77777777" w:rsidR="00EC0009" w:rsidRPr="00015394" w:rsidRDefault="00EC0009" w:rsidP="00EC0009">
            <w:pPr>
              <w:numPr>
                <w:ilvl w:val="0"/>
                <w:numId w:val="4"/>
              </w:numPr>
              <w:spacing w:before="0" w:after="200"/>
              <w:ind w:left="-14" w:firstLine="14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5394">
              <w:rPr>
                <w:rFonts w:ascii="GHEA Grapalat" w:hAnsi="GHEA Grapalat"/>
                <w:sz w:val="16"/>
                <w:szCs w:val="16"/>
                <w:lang w:val="hy-AM"/>
              </w:rPr>
              <w:t>Կենդանիների գործողություններ։</w:t>
            </w:r>
          </w:p>
          <w:p w14:paraId="1AA37444" w14:textId="77777777" w:rsidR="00EC0009" w:rsidRPr="00015394" w:rsidRDefault="00EC0009" w:rsidP="00EC0009">
            <w:pPr>
              <w:numPr>
                <w:ilvl w:val="0"/>
                <w:numId w:val="4"/>
              </w:numPr>
              <w:spacing w:before="0" w:after="200"/>
              <w:ind w:left="-14" w:firstLine="14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5394">
              <w:rPr>
                <w:rFonts w:ascii="GHEA Grapalat" w:hAnsi="GHEA Grapalat"/>
                <w:sz w:val="16"/>
                <w:szCs w:val="16"/>
                <w:lang w:val="hy-AM"/>
              </w:rPr>
              <w:t xml:space="preserve">Թռչող սարքավորումների կամ նրանց </w:t>
            </w:r>
            <w:r w:rsidRPr="0001539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բեկորների և/կամ մասերի կամ այլ առարկաների և իրերի շինարարական բեկորների, ձյան, սառույցի վայր ընկնելը, </w:t>
            </w:r>
            <w:r w:rsidRPr="0001539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կոնստրուկցիաների հետ բախումը ՏՄ-ի հետ կամ դրանց վայր ընկնելը ՏՄ-ի վրա , ինչպես նաև ծառերի, քարերի, բեկորների, ձյան, սառույցի վայր ընկնելը ՏՄ-ի վրա, ՏՄ-ն ջրի մեջ ընկնելը</w:t>
            </w:r>
          </w:p>
          <w:p w14:paraId="0BB01765" w14:textId="77777777" w:rsidR="00EC0009" w:rsidRPr="00F82618" w:rsidRDefault="00EC0009" w:rsidP="00EC0009">
            <w:pPr>
              <w:ind w:left="-14" w:firstLine="14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1539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չվերահսկվող այրում և/կամ մեծ հարվածային ուժով էներգիայի կտրուկ արագության միանվագ առաջացումը</w:t>
            </w:r>
          </w:p>
          <w:p w14:paraId="7D7E2420" w14:textId="77777777" w:rsidR="00EC0009" w:rsidRPr="00015394" w:rsidRDefault="00EC0009" w:rsidP="00EC0009">
            <w:pPr>
              <w:numPr>
                <w:ilvl w:val="0"/>
                <w:numId w:val="4"/>
              </w:numPr>
              <w:spacing w:before="0" w:after="200"/>
              <w:ind w:left="-14" w:firstLine="14"/>
              <w:contextualSpacing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1539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Երրորդ անձանց կողմից թույլ տրված անօրինական գործողություններ կամ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նման</w:t>
            </w:r>
            <w:r w:rsidRPr="0001539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գործողությունների փորձ, այդ թվում՝ ֆիզիկական ուժի գործադրումով, ներառյալ դրանց հետևանքով ՏՄ-ի հրկիզում,պայթեցում, վնաս և/կամ կորուստը</w:t>
            </w:r>
          </w:p>
          <w:p w14:paraId="6B3CE6CB" w14:textId="77777777" w:rsidR="00EC0009" w:rsidRPr="00015394" w:rsidRDefault="00EC0009" w:rsidP="00EC0009">
            <w:pPr>
              <w:numPr>
                <w:ilvl w:val="0"/>
                <w:numId w:val="4"/>
              </w:numPr>
              <w:spacing w:before="0" w:after="200"/>
              <w:ind w:left="-14" w:firstLine="14"/>
              <w:contextualSpacing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1539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Երրորդ անձանց կողմից անզգուշությամբ թույլ տրված անօրինական գործողությունները</w:t>
            </w:r>
          </w:p>
          <w:p w14:paraId="1A6EEDAA" w14:textId="77777777" w:rsidR="00EC0009" w:rsidRPr="00015394" w:rsidRDefault="00EC0009" w:rsidP="00EC0009">
            <w:pPr>
              <w:numPr>
                <w:ilvl w:val="0"/>
                <w:numId w:val="4"/>
              </w:numPr>
              <w:spacing w:before="0" w:after="200"/>
              <w:ind w:left="-14" w:firstLine="14"/>
              <w:contextualSpacing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1539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ՏՄ-ի կամ նրա մասերի գողություն կամ դրա փորձը</w:t>
            </w:r>
          </w:p>
          <w:p w14:paraId="2CA0463C" w14:textId="77777777" w:rsidR="00EC0009" w:rsidRPr="008F05BE" w:rsidRDefault="00EC0009" w:rsidP="00EC0009">
            <w:pPr>
              <w:numPr>
                <w:ilvl w:val="0"/>
                <w:numId w:val="4"/>
              </w:numPr>
              <w:spacing w:before="0" w:after="200"/>
              <w:ind w:left="-14" w:firstLine="14"/>
              <w:contextualSpacing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1539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ՏՄ-Ի կամ նրա մասերի կողոպուտ կամ դրա փորձը</w:t>
            </w:r>
          </w:p>
          <w:p w14:paraId="1BB33D79" w14:textId="77777777" w:rsidR="00EC0009" w:rsidRPr="008F05BE" w:rsidRDefault="00EC0009" w:rsidP="00EC0009">
            <w:pPr>
              <w:ind w:left="-14" w:firstLine="14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F05BE">
              <w:rPr>
                <w:rFonts w:ascii="GHEA Grapalat" w:hAnsi="GHEA Grapalat" w:cs="Calibri"/>
                <w:sz w:val="16"/>
                <w:szCs w:val="16"/>
                <w:lang w:val="hy-AM"/>
              </w:rPr>
              <w:t>•</w:t>
            </w:r>
            <w:r w:rsidRPr="008F05BE">
              <w:rPr>
                <w:rFonts w:ascii="GHEA Grapalat" w:hAnsi="GHEA Grapalat" w:cs="Calibri"/>
                <w:sz w:val="16"/>
                <w:szCs w:val="16"/>
                <w:lang w:val="hy-AM"/>
              </w:rPr>
              <w:tab/>
              <w:t xml:space="preserve">ՏՄ հայելիների, անվադողերի, անվահեծերի, անիվների դեկորատիվ ծածկերի, հաշվառման համարանիշների, չեզոքացուցիչների, լապտերների, ֆիրմային ցուցանիշների, արտաքին այլ տեղադրված մասերի և սարքավորումների, այդ թվում՝ </w:t>
            </w:r>
            <w:r w:rsidRPr="008F05BE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սպոյլերների, մոլդինգների ֆիզիկական վնասը և հափշտակությունը</w:t>
            </w:r>
          </w:p>
          <w:p w14:paraId="4649FDFC" w14:textId="77777777" w:rsidR="00EC0009" w:rsidRPr="008F05BE" w:rsidRDefault="00EC0009" w:rsidP="00EC0009">
            <w:pPr>
              <w:ind w:left="-14" w:firstLine="14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F05BE">
              <w:rPr>
                <w:rFonts w:ascii="GHEA Grapalat" w:hAnsi="GHEA Grapalat" w:cs="Calibri"/>
                <w:sz w:val="16"/>
                <w:szCs w:val="16"/>
                <w:lang w:val="hy-AM"/>
              </w:rPr>
              <w:t>-</w:t>
            </w:r>
            <w:r w:rsidRPr="008F05BE">
              <w:rPr>
                <w:rFonts w:ascii="GHEA Grapalat" w:hAnsi="GHEA Grapalat" w:cs="Calibri"/>
                <w:sz w:val="16"/>
                <w:szCs w:val="16"/>
                <w:lang w:val="hy-AM"/>
              </w:rPr>
              <w:tab/>
              <w:t>Եթե վթարը տեղի է ունեցել ՏՄ-ի հանդիպակաց ուղեմաս մուտք գործելու կամ ճանապարհի երթևեկելի մասի ձախ կողմից դուրս գալու արդյունքում կամ ընթացքում/ այդ թվում՝ ՏՄ-ի ընթացքի կայունությունն ու կառավարելիությունը կորցնելու կամ վար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ո</w:t>
            </w:r>
            <w:r w:rsidRPr="008F05BE">
              <w:rPr>
                <w:rFonts w:ascii="GHEA Grapalat" w:hAnsi="GHEA Grapalat" w:cs="Calibri"/>
                <w:sz w:val="16"/>
                <w:szCs w:val="16"/>
                <w:lang w:val="hy-AM"/>
              </w:rPr>
              <w:t>րդի կողմից երթևեկելի մասում առկա խոչնդոտը կամ վտանգի աղբյուրը շրջանցելու հետևանքով</w:t>
            </w:r>
          </w:p>
          <w:p w14:paraId="1FA17AC6" w14:textId="77777777" w:rsidR="00EC0009" w:rsidRPr="00615D12" w:rsidRDefault="00EC0009" w:rsidP="00EC0009">
            <w:pPr>
              <w:ind w:left="-14" w:firstLine="14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05BE">
              <w:rPr>
                <w:rFonts w:ascii="GHEA Grapalat" w:hAnsi="GHEA Grapalat" w:cs="Calibri"/>
                <w:sz w:val="16"/>
                <w:szCs w:val="16"/>
                <w:lang w:val="hy-AM"/>
              </w:rPr>
              <w:t>-</w:t>
            </w:r>
            <w:r w:rsidRPr="008F05BE">
              <w:rPr>
                <w:rFonts w:ascii="GHEA Grapalat" w:hAnsi="GHEA Grapalat" w:cs="Calibri"/>
                <w:sz w:val="16"/>
                <w:szCs w:val="16"/>
                <w:lang w:val="hy-AM"/>
              </w:rPr>
              <w:tab/>
              <w:t>Եթե խախտվել են ՀՀ կառավարության 2007 թ</w:t>
            </w:r>
            <w:r w:rsidRPr="008F05BE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8F05B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հունիսի 28-ի համար 9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5</w:t>
            </w:r>
            <w:r w:rsidRPr="008F05BE">
              <w:rPr>
                <w:rFonts w:ascii="GHEA Grapalat" w:hAnsi="GHEA Grapalat" w:cs="Calibri"/>
                <w:sz w:val="16"/>
                <w:szCs w:val="16"/>
                <w:lang w:val="hy-AM"/>
              </w:rPr>
              <w:t>5-Ն որոշման հավելված 1-ով սահմանված հետևյալ ՃՏՊ-ի կանոնները՝ ՏՄ-ի վարում լուսացույցի արգելող ազդանշանի տակ, արգելված վայրում ՏՄ-ի հետադարձ, շրջադարձ կամ հետընթաց կատարում, ՏՄ-ով հոծ գծանշման հատում, ՏՄ-ի շահագործում տվյալ ճանապարհահատվածի համար սահմանված /թույլատրված/ արագությունից 30 կմ/ժ -ով ավելի արագությամ</w:t>
            </w:r>
          </w:p>
          <w:p w14:paraId="10EFC9AF" w14:textId="77777777" w:rsidR="00EC0009" w:rsidRPr="00615D12" w:rsidRDefault="00EC0009" w:rsidP="00EC0009">
            <w:pPr>
              <w:ind w:left="-14" w:firstLine="14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4259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Չհատուցվող գումար՝ Ֆիզիկական վնասի և/կամ կորստի դեպքում յուրաքանչյուր ավտոմեքենայի և դեպքի համար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չի նախատեսվում</w:t>
            </w:r>
            <w:r w:rsidRPr="00E54259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։ Հափշտակության դեպքում` վնասի օրվա դրությամբ </w:t>
            </w:r>
            <w:r w:rsidRPr="002B4430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առավելագույնը 1 Տ/Մ-ի </w:t>
            </w:r>
            <w:r w:rsidRPr="00E54259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ապահովագրական գումարի 10%, իսկ հակաառևանգիչ </w:t>
            </w:r>
            <w:r w:rsidRPr="00E54259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 xml:space="preserve">սարքավորման առկայության դեպքում` </w:t>
            </w:r>
            <w:r w:rsidRPr="002B4430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առավելագույնը 1 Տ/Մ-ի </w:t>
            </w:r>
            <w:r w:rsidRPr="00E54259">
              <w:rPr>
                <w:rFonts w:ascii="GHEA Grapalat" w:hAnsi="GHEA Grapalat" w:cs="Calibri"/>
                <w:sz w:val="16"/>
                <w:szCs w:val="16"/>
                <w:lang w:val="hy-AM"/>
              </w:rPr>
              <w:t>ապահովագրական գումարի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E54259">
              <w:rPr>
                <w:rFonts w:ascii="GHEA Grapalat" w:hAnsi="GHEA Grapalat" w:cs="Calibri"/>
                <w:sz w:val="16"/>
                <w:szCs w:val="16"/>
                <w:lang w:val="hy-AM"/>
              </w:rPr>
              <w:t>5%:</w:t>
            </w:r>
          </w:p>
          <w:p w14:paraId="5A190A8D" w14:textId="77777777" w:rsidR="00EC0009" w:rsidRDefault="00EC0009" w:rsidP="00EC0009">
            <w:pPr>
              <w:ind w:left="-14" w:firstLine="14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Եթե տրասնպորտային միջոցները գտնվում են երաշխիքային սպասարկման մեջ, ուստի դրանց վերանորոգումը մինչև երաշխիքային սպասարկման ավարտը պետք է կատարվի երաշխիքային սպասարկում տրամադրող &lt;&lt;Ավանգարտ&gt;&gt; ՍՊԸ-ի կողմից մատնանշված վերանորոգման կետում՝ բացառելու համար երաշխիքային սպասարկումից դուրս գալը, իսկ պահեստամասերը պետք է տեղադրվեն բացառապես ավտոարտադրողի կողմից ներկրված գրոծարանային արտադրության՝ չկիրառելով մաշվածության գործակիցներ։Երաշխիքային սպասարկումից դուրս եկած ավտոմեքենաները կարող են վերանորոգվել նաև ապահովագրողների բյուրոյի կողմից նվազագույն պահանջներին բավարարող ընկերություններում, սակայն պահեստամասերը նույնպես պետք է տեղադրվեն բացառապես ավտոարտադրողի կողմից ներկրված գործարանային արտադրության:Ընդ որում, թե երաշխիքային սպասարկման մեջ գտնվող, և թե Երաշխիքային սպասարկումից դուրս եկած տրանսպորտային միջոցներին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հասցված վնասի գնահատման հաշվարկի ժամանակ չպետք է կիրառվեն մաշվածության գործակիցներ՝ անկած տրանսպորտային միջոցի տարեթվից,կատարված վազքից կամ այլ գործոններից։</w:t>
            </w:r>
          </w:p>
          <w:p w14:paraId="0DB6A41C" w14:textId="77777777" w:rsidR="00EC0009" w:rsidRDefault="00EC0009" w:rsidP="00EC0009">
            <w:pPr>
              <w:ind w:left="-14" w:firstLine="14"/>
              <w:jc w:val="right"/>
              <w:rPr>
                <w:rFonts w:ascii="GHEA Grapalat" w:hAnsi="GHEA Grapalat" w:cs="Sylfaen"/>
                <w:b/>
                <w:lang w:val="hy-AM"/>
              </w:rPr>
            </w:pPr>
          </w:p>
          <w:p w14:paraId="32C27454" w14:textId="77777777" w:rsidR="00EC0009" w:rsidRPr="00117778" w:rsidRDefault="00EC0009" w:rsidP="00EC0009">
            <w:pPr>
              <w:ind w:left="-14" w:firstLine="14"/>
              <w:jc w:val="right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Հ</w:t>
            </w:r>
            <w:r w:rsidRPr="007A2160">
              <w:rPr>
                <w:rFonts w:ascii="GHEA Grapalat" w:hAnsi="GHEA Grapalat" w:cs="Sylfaen"/>
                <w:b/>
                <w:lang w:val="hy-AM"/>
              </w:rPr>
              <w:t>ավելված 1</w:t>
            </w:r>
            <w:r>
              <w:rPr>
                <w:rFonts w:ascii="GHEA Grapalat" w:hAnsi="GHEA Grapalat" w:cs="Sylfaen"/>
                <w:b/>
                <w:lang w:val="hy-AM"/>
              </w:rPr>
              <w:t>.1</w:t>
            </w:r>
          </w:p>
          <w:p w14:paraId="5152B32D" w14:textId="764BBAA6" w:rsidR="00EC0009" w:rsidRPr="007C14E6" w:rsidRDefault="00EC0009" w:rsidP="00EC0009">
            <w:pPr>
              <w:spacing w:before="0" w:after="0"/>
              <w:ind w:left="-14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</w:p>
        </w:tc>
      </w:tr>
    </w:tbl>
    <w:p w14:paraId="08DAF8BA" w14:textId="5384B6A9" w:rsidR="00EC0009" w:rsidRPr="00117778" w:rsidRDefault="00EC0009" w:rsidP="00EC0009">
      <w:pPr>
        <w:ind w:left="-14" w:firstLine="14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Հ</w:t>
      </w:r>
      <w:r w:rsidRPr="007A2160">
        <w:rPr>
          <w:rFonts w:ascii="GHEA Grapalat" w:hAnsi="GHEA Grapalat" w:cs="Sylfaen"/>
          <w:b/>
          <w:lang w:val="hy-AM"/>
        </w:rPr>
        <w:t>ավելված 1</w:t>
      </w:r>
      <w:r>
        <w:rPr>
          <w:rFonts w:ascii="GHEA Grapalat" w:hAnsi="GHEA Grapalat" w:cs="Sylfaen"/>
          <w:b/>
          <w:lang w:val="hy-AM"/>
        </w:rPr>
        <w:t>.1</w:t>
      </w:r>
    </w:p>
    <w:tbl>
      <w:tblPr>
        <w:tblW w:w="1107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00"/>
        <w:gridCol w:w="1830"/>
        <w:gridCol w:w="3870"/>
        <w:gridCol w:w="1620"/>
        <w:gridCol w:w="1440"/>
        <w:gridCol w:w="1710"/>
      </w:tblGrid>
      <w:tr w:rsidR="00EC0009" w14:paraId="113D3AA2" w14:textId="77777777" w:rsidTr="00EC0009">
        <w:trPr>
          <w:trHeight w:val="5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0D8FDF9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b/>
                <w:bCs/>
                <w:color w:val="000000"/>
              </w:rPr>
            </w:pPr>
            <w:r w:rsidRPr="008D0373">
              <w:rPr>
                <w:rFonts w:cs="Calibri"/>
                <w:b/>
                <w:bCs/>
                <w:color w:val="000000"/>
              </w:rPr>
              <w:t>№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F93FBFF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Մեքենայի մակիշ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B372481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Նույնականացման համար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802B8D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Հաշվառման համարանիշ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49138D06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Մեքենայի արժեք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E15FFFE" w14:textId="77777777" w:rsidR="00EC0009" w:rsidRDefault="00EC0009" w:rsidP="00EC0009">
            <w:pPr>
              <w:spacing w:before="0" w:after="0"/>
              <w:ind w:left="0" w:firstLine="14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Ապահովագրավճար</w:t>
            </w:r>
          </w:p>
        </w:tc>
      </w:tr>
      <w:tr w:rsidR="00EC0009" w14:paraId="34BF0D45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23B4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9BD6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4CDD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YV1XZEPT4S2545606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9851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296DH61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95A0E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A406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30E3BB1F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D9CC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36C3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8D8A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YV1XZEPT5S2544075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B189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301DH61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6BCC5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AFE6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0583F876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608A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6487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5314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YV1XZEPT3S2543765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FD69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293DH61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06224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AD03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713D767E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795F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F552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3364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YV1XZEPT0S2544114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4CAF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292DH61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5A8BE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72B0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3C92610E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B449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3FBF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3316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YV1XZEPT9S2543978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D5BF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291DH61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EC971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D1B6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7EEB7D9D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2F2D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AA11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040D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YV1XZEPTXS2544721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3134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290DH61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D6080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C25A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6F687957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E680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76B9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4FDB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YV1XZEPTXS2544752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4452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289DH61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DEDBB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0729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3BFD0761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EE67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9932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DA58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YV1XZEPT2S2545281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513D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288DH61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460E3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A221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5C4E37EA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D69F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8F6B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C6DF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YV1XZEPT1S2545370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5264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287DH61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FD06D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9016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59F0F442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F0F0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F45D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7113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YV1XZEPTXS2545089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9EDA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286DH61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9C678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E00E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61B3A0B5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723A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E446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3D08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YV1XZEPT4S2545038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0917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284DH61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E7F23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3C00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613DAF14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36AA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FBB7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5ACC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YV1XZEPT3S2544821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0A3D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285DH61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4C6F6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AE7F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25FE9523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7686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A781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DBDF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YV1XZEPT0S2545103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FC50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283DH61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25E1C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11DE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49657F6F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26AC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6EDA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56EB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YV1XZEPT1S2544803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5847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282DH61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36CA5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A90B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27A39BB2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91AD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7736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1288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YV1XZEPT3S2541840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C2ED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281DH61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EB791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1BBA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51929FFA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BA3B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369C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DBF5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YV1XZEPT0S2541987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2551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280DH61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F49B4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377D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436C43CF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2426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17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6F9D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C183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YV1XZEPT2S2546107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9DF9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279DH61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E3C10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0D27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72AD3873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31FE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B64A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06A2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YV1XZEPT9S2545777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2ED9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278DH61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304EF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3750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4B54B27D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9780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EFEE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3CA1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YV1XZEPT0S2545862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A4AE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277DH61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8B042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8FFF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7A19981D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37FC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7878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56BB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YV1XZEPTXS2545884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142F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276DH61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91728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2955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7A995328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7949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BCF6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023C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YV1XZEPT3S2545953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7B9C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338DH61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4D1E8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A100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5C21D9F9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104D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5408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8CA0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YV1XZEPT0S2546199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A82B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337DH61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575DA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0C2F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1819D209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1268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D74E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95AA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YV1XZEPT5S2545713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7BCA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339DH61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5D6D6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C382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41569413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59AB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CA04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CD93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YV1XZEPT0S2541794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5D3E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335DH61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DC906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B92E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798BE9EA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7CA9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3E7A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BB6B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YV1XZEPT7S2545566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BD55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303DH61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927F7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1084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748CBFAD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ABF3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3928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8FFE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YV1XZEPTXS2545495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E2A8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317DH61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729A4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2D8E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0A62EAFC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4BEE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BB82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4017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YV1XZEPT3S2545435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B8B4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333DH61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E9F17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1D0E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0EA7E134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6D0A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C18B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D214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YV1XZEPT3S2542468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2847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334DH61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EEB8F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9688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0329FF5C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518B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308A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FF51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YV1XZEPT3S2542440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9074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340DH61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79DAA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4F56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4AE892BD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1EB2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8E4D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DF4B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YV1XZEPTXS2542287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E003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342DH61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3D3E4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C080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006BACAF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464F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22E3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1E4E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YV1XZEPT2S2545541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66E2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336DH61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1D00F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8EC3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7145E0B2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7244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797D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8D18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YV1XZEPT9S2542085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603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332DH61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710F8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D68F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2E4E2E7C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0E5E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EFD0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B2DD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YV1XZEPT2S2542039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99E3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316DH61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35C87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7052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45D7B913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1335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88A9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7BE9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YV1XZEPT6S2540052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5C2E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381DH61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D4CF0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99AF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0DB9780F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F779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DA89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A419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YV1XZEPT2S2540002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FCE5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380DH61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29E4E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EA42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66711553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9DBC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F74F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C83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YV1XZEPT6S2540097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BD1F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370DH61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D3ECE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3816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7AF39E66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0B23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0C77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0765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YV1XZEPT6S2540486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A98C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379DH61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4435D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2904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2FFD9D6D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B52C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5E94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4EDF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YV1XZEPT0S2540676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ABA2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369DH61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B51F9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9B7E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043DF582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1B71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8468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7921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YV1XZEPT5S2540740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9751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368DH61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EDE57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4FE6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55E5A779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1ED8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1B2A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D3CE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YV1XZEPT4S2540874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4C7F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378DH61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F62A0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80B1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1933DC7F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AC30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A879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E72D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YV1XZEPT0S2541035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6C2E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367DH61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B21D0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0134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6989BEE3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BC5D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3FE2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A3EF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YV1XZEPT2S2541022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D1B5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377DH61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AC3FB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22A3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7F250896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0C77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43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10B0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1983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YV1XZEPT6S2541167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8DCF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365DH61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90229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AF11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68326A4E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4D1D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3DA8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33FE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YV1XZEPT6S2541282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6891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376DH61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B85F3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9E1B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1EE1E9C9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2D84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1278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66A1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YV1XZEPTXS2541236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EA94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371DH61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62388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E43B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4708891E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9910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DADF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719A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YV1XZEPT3S2541367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23EC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382DH61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4DBB0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EFAB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22D8D0DC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0C81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8B14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4C6B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YV1XZEPT9S2541437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69A9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364DH61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32222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2C7E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735AD091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48CF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20F6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6FA2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YV1XZEPT3S2541630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73C4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375DH61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4FED8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79BD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49DCBB4B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4EC5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E4C2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D6CC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YV1XZEPT7S2541663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0E5F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363DH61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3508A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ABE6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4828DD88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1166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5824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07A4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YV1XZEPT0S2541682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D8A6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374DH61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534E0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7264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5ABC6C7E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75B5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8FA7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A68E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YV1XZEPT4S2542608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417F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366DH61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9698D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F37A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6802C2BE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F345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5B36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E27D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YV1XZEPT0S2542864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8DE8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362DH61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7D579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54C7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4645CAED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E5E3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20C4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B6E0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YV1XZEPT6S2543369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87A4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373DH61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6775E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345A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74BEB213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C3C1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C544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88D0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YV1XZEPT2S2543501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5580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361DH61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1E358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8AA0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0132E8DA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8234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F61C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5542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YV1XZEPT0S2544596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8A97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372DH61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36C85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DD7D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45075228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A793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649B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681C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YV1XZEPT0S2544632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DB95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357DH61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A9BB2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0130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460E9B47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A91D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9C8C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66A0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YV1XZEPT6S2545672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D1B5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356DH61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FCE77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9089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2CBF40C0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D420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A797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2F22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YV1XZEPT2S2544664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1F0B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358DH61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BADDA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81A0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37D32666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BDDF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EFBA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72A3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YV1XZEPT2S2541747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964E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355DH61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905EE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3BE7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08957DEC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D95E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BB79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E003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YV1XZEPT4S2540339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7868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354DH61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0F2CB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2B63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44CA647B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8DEA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3946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2884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YV1XZEPT3S2540509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33FB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353DH61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D10D4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7D64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76C0A311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AF1B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7248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F4F9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YV1XZEPT9S2540563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AC81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352DH61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BA59B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15DC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722471F9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B657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087D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77ED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YV1XZEPT2S2540923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BB1B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351DH61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5C5E4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6F73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27AAD78F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50C5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8463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9652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YV1XZEPT1S2540248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7EC9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350DH61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6CB4D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FA21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72A7A73B" w14:textId="77777777" w:rsidTr="00EC0009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4B90" w14:textId="77777777" w:rsidR="00EC0009" w:rsidRDefault="00EC0009" w:rsidP="00EC0009">
            <w:pPr>
              <w:spacing w:before="0" w:after="0"/>
              <w:ind w:left="0" w:right="-405" w:hanging="43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B026" w14:textId="77777777" w:rsidR="00EC0009" w:rsidRDefault="00EC0009" w:rsidP="00EC0009">
            <w:pPr>
              <w:spacing w:before="0" w:after="0"/>
              <w:ind w:left="0" w:firstLine="16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VOLVO EX 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7DAA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Ավտոմեքենա Volvo EX40 BEV (Battery Electric Vehicle) YV1XZEPT0S2540712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D720" w14:textId="77777777" w:rsidR="00EC0009" w:rsidRDefault="00EC0009" w:rsidP="00EC0009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349DH61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F9D7A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19,650,000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034C" w14:textId="77777777" w:rsidR="00EC0009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1179000</w:t>
            </w:r>
          </w:p>
        </w:tc>
      </w:tr>
      <w:tr w:rsidR="00EC0009" w14:paraId="73773D13" w14:textId="77777777" w:rsidTr="00EC0009">
        <w:trPr>
          <w:trHeight w:val="576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6F88" w14:textId="22E8774E" w:rsidR="00EC0009" w:rsidRPr="00EC0009" w:rsidRDefault="00EC0009" w:rsidP="00EC0009">
            <w:pPr>
              <w:spacing w:before="0" w:after="0"/>
              <w:ind w:left="0" w:hanging="1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C0009">
              <w:rPr>
                <w:rFonts w:ascii="GHEA Grapalat" w:hAnsi="GHEA Grapalat"/>
                <w:b/>
                <w:sz w:val="20"/>
                <w:szCs w:val="20"/>
              </w:rPr>
              <w:t>ԸՆԴՀԱՆՈՒՐ ԳԻՆ</w:t>
            </w:r>
            <w:r w:rsidRPr="00EC000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՝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79DE" w14:textId="77777777" w:rsidR="00EC0009" w:rsidRPr="00AF4D5A" w:rsidRDefault="00EC0009" w:rsidP="00EC0009">
            <w:pPr>
              <w:spacing w:before="0" w:after="0"/>
              <w:ind w:left="0" w:hanging="14"/>
              <w:jc w:val="center"/>
              <w:rPr>
                <w:rFonts w:cs="Calibri"/>
                <w:b/>
                <w:color w:val="000000"/>
              </w:rPr>
            </w:pPr>
            <w:r w:rsidRPr="00AF4D5A">
              <w:rPr>
                <w:rFonts w:cs="Calibri"/>
                <w:b/>
                <w:color w:val="000000"/>
              </w:rPr>
              <w:t>76</w:t>
            </w:r>
            <w:r>
              <w:rPr>
                <w:rFonts w:ascii="Sylfaen" w:hAnsi="Sylfaen" w:cs="Calibri"/>
                <w:b/>
                <w:color w:val="000000"/>
                <w:lang w:val="hy-AM"/>
              </w:rPr>
              <w:t xml:space="preserve"> </w:t>
            </w:r>
            <w:r w:rsidRPr="00AF4D5A">
              <w:rPr>
                <w:rFonts w:cs="Calibri"/>
                <w:b/>
                <w:color w:val="000000"/>
              </w:rPr>
              <w:t>635</w:t>
            </w:r>
            <w:r>
              <w:rPr>
                <w:rFonts w:ascii="Sylfaen" w:hAnsi="Sylfaen" w:cs="Calibri"/>
                <w:b/>
                <w:color w:val="000000"/>
                <w:lang w:val="hy-AM"/>
              </w:rPr>
              <w:t xml:space="preserve"> </w:t>
            </w:r>
            <w:r w:rsidRPr="00AF4D5A">
              <w:rPr>
                <w:rFonts w:cs="Calibri"/>
                <w:b/>
                <w:color w:val="000000"/>
              </w:rPr>
              <w:t>000</w:t>
            </w:r>
          </w:p>
        </w:tc>
      </w:tr>
    </w:tbl>
    <w:p w14:paraId="409E313D" w14:textId="1C1B06A3" w:rsidR="00EC0009" w:rsidRDefault="00EC0009"/>
    <w:p w14:paraId="53DA55F5" w14:textId="77777777" w:rsidR="00EC0009" w:rsidRDefault="00EC0009">
      <w:pPr>
        <w:spacing w:before="0" w:after="160" w:line="259" w:lineRule="auto"/>
        <w:ind w:left="0" w:firstLine="0"/>
      </w:pPr>
      <w:r>
        <w:br w:type="page"/>
      </w:r>
    </w:p>
    <w:tbl>
      <w:tblPr>
        <w:tblW w:w="1116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626"/>
        <w:gridCol w:w="540"/>
        <w:gridCol w:w="246"/>
        <w:gridCol w:w="29"/>
        <w:gridCol w:w="290"/>
        <w:gridCol w:w="785"/>
        <w:gridCol w:w="572"/>
        <w:gridCol w:w="238"/>
        <w:gridCol w:w="175"/>
        <w:gridCol w:w="49"/>
        <w:gridCol w:w="611"/>
        <w:gridCol w:w="65"/>
        <w:gridCol w:w="450"/>
        <w:gridCol w:w="180"/>
        <w:gridCol w:w="500"/>
        <w:gridCol w:w="81"/>
        <w:gridCol w:w="519"/>
        <w:gridCol w:w="520"/>
        <w:gridCol w:w="25"/>
        <w:gridCol w:w="695"/>
        <w:gridCol w:w="37"/>
        <w:gridCol w:w="675"/>
        <w:gridCol w:w="208"/>
        <w:gridCol w:w="26"/>
        <w:gridCol w:w="404"/>
        <w:gridCol w:w="1800"/>
      </w:tblGrid>
      <w:tr w:rsidR="00EC0009" w:rsidRPr="001048CC" w14:paraId="4B8BC031" w14:textId="77777777" w:rsidTr="00050641">
        <w:trPr>
          <w:trHeight w:val="169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451180EC" w14:textId="10E8CA09" w:rsidR="00EC0009" w:rsidRPr="00A76924" w:rsidRDefault="00EC0009" w:rsidP="00EC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CC5EB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 xml:space="preserve">   </w:t>
            </w:r>
            <w:r w:rsidRPr="00CC5EB7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      </w:t>
            </w:r>
          </w:p>
        </w:tc>
      </w:tr>
      <w:tr w:rsidR="00EC0009" w:rsidRPr="0048135D" w14:paraId="24C3B0CB" w14:textId="77777777" w:rsidTr="00050641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C0009" w:rsidRPr="00EC6C64" w:rsidRDefault="00EC0009" w:rsidP="00EC00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Կիրառված գ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նման ընթացակարգ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 և դրա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1CAE72" w:rsidR="00EC0009" w:rsidRPr="00EC6C64" w:rsidRDefault="00EC0009" w:rsidP="00EC00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EC0009" w:rsidRPr="0048135D" w14:paraId="075EEA57" w14:textId="77777777" w:rsidTr="00050641">
        <w:trPr>
          <w:trHeight w:val="196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C0009" w:rsidRPr="00EC6C64" w:rsidRDefault="00EC0009" w:rsidP="00EC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EC0009" w:rsidRPr="00296076" w14:paraId="681596E8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C0009" w:rsidRPr="00EC30A8" w:rsidRDefault="00EC0009" w:rsidP="00EC00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րավեր ուղարկելու </w:t>
            </w: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կամ հրապարակելու 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ամսաթիվը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D43F04B" w:rsidR="00EC0009" w:rsidRPr="000B2910" w:rsidRDefault="00EC0009" w:rsidP="00EC00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31.03.2026թ.</w:t>
            </w:r>
          </w:p>
        </w:tc>
      </w:tr>
      <w:tr w:rsidR="00EC0009" w:rsidRPr="00296076" w14:paraId="199F948A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5883E63" w:rsidR="00EC0009" w:rsidRPr="00E40A23" w:rsidRDefault="00EC0009" w:rsidP="00EC00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Հրավերում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կատարված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C0009" w:rsidRPr="00E40A23" w:rsidRDefault="00EC0009" w:rsidP="00EC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F821E71" w:rsidR="00EC0009" w:rsidRPr="00E40A23" w:rsidRDefault="00EC0009" w:rsidP="00EC00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EC0009" w:rsidRPr="00296076" w14:paraId="6EE9B008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C0009" w:rsidRPr="00E40A23" w:rsidRDefault="00EC0009" w:rsidP="00EC00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C0009" w:rsidRPr="00E40A23" w:rsidRDefault="00EC0009" w:rsidP="00EC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C0009" w:rsidRPr="00E40A23" w:rsidRDefault="00EC0009" w:rsidP="00EC00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EC0009" w:rsidRPr="00EC30A8" w14:paraId="13FE412E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C0009" w:rsidRPr="00E40A23" w:rsidRDefault="00EC0009" w:rsidP="00EC00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C0009" w:rsidRPr="00E40A23" w:rsidRDefault="00EC0009" w:rsidP="00EC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C0009" w:rsidRPr="00E40A23" w:rsidRDefault="00EC0009" w:rsidP="00EC00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C0009" w:rsidRPr="00EC30A8" w:rsidRDefault="00EC0009" w:rsidP="00EC00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Պարզաբ</w:t>
            </w:r>
            <w:r w:rsidRPr="0029607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անմ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</w:t>
            </w:r>
          </w:p>
        </w:tc>
      </w:tr>
      <w:tr w:rsidR="00EC0009" w:rsidRPr="00EC30A8" w14:paraId="321D26CF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C0009" w:rsidRPr="00EC30A8" w:rsidRDefault="00EC0009" w:rsidP="00EC00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C0009" w:rsidRPr="00EC30A8" w:rsidRDefault="00EC0009" w:rsidP="00EC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C0009" w:rsidRPr="00EC30A8" w:rsidRDefault="00EC0009" w:rsidP="00EC00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C0009" w:rsidRPr="00EC30A8" w:rsidRDefault="00EC0009" w:rsidP="00EC00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EC0009" w:rsidRPr="00EC30A8" w14:paraId="68E691E2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C0009" w:rsidRPr="00EC30A8" w:rsidRDefault="00EC0009" w:rsidP="00EC00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C0009" w:rsidRPr="00EC30A8" w:rsidRDefault="00EC0009" w:rsidP="00EC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C0009" w:rsidRPr="00EC30A8" w:rsidRDefault="00EC0009" w:rsidP="00EC00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C0009" w:rsidRPr="00EC30A8" w:rsidRDefault="00EC0009" w:rsidP="00EC00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EC0009" w:rsidRPr="00EC30A8" w14:paraId="30B89418" w14:textId="77777777" w:rsidTr="00050641">
        <w:trPr>
          <w:trHeight w:val="54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70776DB4" w14:textId="77777777" w:rsidR="00EC0009" w:rsidRPr="00EC30A8" w:rsidRDefault="00EC0009" w:rsidP="00EC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EC0009" w:rsidRPr="00EC30A8" w14:paraId="10DC4861" w14:textId="77777777" w:rsidTr="00050641">
        <w:trPr>
          <w:trHeight w:val="605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EC0009" w:rsidRPr="00EC30A8" w:rsidRDefault="00EC0009" w:rsidP="00EC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Հ/Հ</w:t>
            </w:r>
          </w:p>
        </w:tc>
        <w:tc>
          <w:tcPr>
            <w:tcW w:w="270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EC0009" w:rsidRPr="00EC30A8" w:rsidRDefault="00EC0009" w:rsidP="00EC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20" w:type="dxa"/>
            <w:gridSpan w:val="18"/>
            <w:shd w:val="clear" w:color="auto" w:fill="auto"/>
            <w:vAlign w:val="center"/>
          </w:tcPr>
          <w:p w14:paraId="1FD38684" w14:textId="76CE2B63" w:rsidR="00EC0009" w:rsidRPr="00EC30A8" w:rsidRDefault="00EC0009" w:rsidP="00EC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/ՀՀ դրամ</w:t>
            </w:r>
          </w:p>
        </w:tc>
      </w:tr>
      <w:tr w:rsidR="00EC0009" w:rsidRPr="00EC30A8" w14:paraId="3FD00E3A" w14:textId="77777777" w:rsidTr="00050641">
        <w:trPr>
          <w:trHeight w:val="365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67E5DBFB" w14:textId="77777777" w:rsidR="00EC0009" w:rsidRPr="00EC30A8" w:rsidRDefault="00EC0009" w:rsidP="00EC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700" w:type="dxa"/>
            <w:gridSpan w:val="7"/>
            <w:vMerge/>
            <w:shd w:val="clear" w:color="auto" w:fill="auto"/>
            <w:vAlign w:val="center"/>
          </w:tcPr>
          <w:p w14:paraId="7835142E" w14:textId="77777777" w:rsidR="00EC0009" w:rsidRPr="00EC30A8" w:rsidRDefault="00EC0009" w:rsidP="00EC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27542D69" w14:textId="77777777" w:rsidR="00EC0009" w:rsidRPr="00EC30A8" w:rsidRDefault="00EC0009" w:rsidP="00EC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EC0009" w:rsidRPr="00EC30A8" w:rsidRDefault="00EC0009" w:rsidP="00EC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ԱԱՀ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4A371FE9" w14:textId="77777777" w:rsidR="00EC0009" w:rsidRPr="00EC30A8" w:rsidRDefault="00EC0009" w:rsidP="00EC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EC0009" w:rsidRPr="00EC30A8" w14:paraId="4DA511EC" w14:textId="77777777" w:rsidTr="00050641">
        <w:trPr>
          <w:trHeight w:val="83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5DBE5B3F" w14:textId="77777777" w:rsidR="00EC0009" w:rsidRPr="00EC30A8" w:rsidRDefault="00EC0009" w:rsidP="00EC00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</w:p>
        </w:tc>
        <w:tc>
          <w:tcPr>
            <w:tcW w:w="9720" w:type="dxa"/>
            <w:gridSpan w:val="25"/>
            <w:shd w:val="clear" w:color="auto" w:fill="auto"/>
            <w:vAlign w:val="center"/>
          </w:tcPr>
          <w:p w14:paraId="6ABF72D4" w14:textId="77777777" w:rsidR="00EC0009" w:rsidRPr="00EC30A8" w:rsidRDefault="00EC0009" w:rsidP="00EC00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</w:p>
        </w:tc>
      </w:tr>
      <w:tr w:rsidR="00982092" w:rsidRPr="00EC30A8" w14:paraId="50825522" w14:textId="77777777" w:rsidTr="005A52AB">
        <w:trPr>
          <w:trHeight w:val="313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50AD5B95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14:paraId="259F3C98" w14:textId="7419D5E4" w:rsidR="00982092" w:rsidRPr="00F93A46" w:rsidRDefault="00982092" w:rsidP="009820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9820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Սիլ Ինշուրանս ԱՓԲԸ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1D867224" w14:textId="1E2F709C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9820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48 535 500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2B8A853" w14:textId="55479E16" w:rsidR="00982092" w:rsidRPr="00982092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9820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F59BBB2" w14:textId="1CDAE30C" w:rsidR="00982092" w:rsidRPr="008B33FA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9820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48 535 500</w:t>
            </w:r>
          </w:p>
        </w:tc>
      </w:tr>
      <w:tr w:rsidR="00982092" w:rsidRPr="00EC30A8" w14:paraId="0D6F1357" w14:textId="77777777" w:rsidTr="005A52AB">
        <w:trPr>
          <w:trHeight w:val="313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5AA1AE5B" w14:textId="7945B8E8" w:rsidR="00982092" w:rsidRPr="000A7AC4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14:paraId="07AAB620" w14:textId="1444F770" w:rsidR="00982092" w:rsidRPr="006310AE" w:rsidRDefault="00982092" w:rsidP="009820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9820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ԱՐՄԵՆԻԱ ԻՆՇՈՒՐԱՆՍ Ապահովագրական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3B198DAB" w14:textId="34D54061" w:rsidR="00982092" w:rsidRPr="0017356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9820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48 535 500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E5C9AC2" w14:textId="251FB860" w:rsidR="00982092" w:rsidRPr="00982092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9820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21A9E2D0" w14:textId="3121BF67" w:rsidR="00982092" w:rsidRPr="0017356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9820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48 535 500</w:t>
            </w:r>
          </w:p>
        </w:tc>
      </w:tr>
      <w:tr w:rsidR="00982092" w:rsidRPr="0048135D" w14:paraId="69EF614C" w14:textId="77777777" w:rsidTr="00050641">
        <w:trPr>
          <w:trHeight w:val="457"/>
        </w:trPr>
        <w:tc>
          <w:tcPr>
            <w:tcW w:w="1980" w:type="dxa"/>
            <w:gridSpan w:val="3"/>
            <w:shd w:val="clear" w:color="auto" w:fill="auto"/>
            <w:vAlign w:val="center"/>
          </w:tcPr>
          <w:p w14:paraId="018AC703" w14:textId="37EAE017" w:rsidR="00982092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180" w:type="dxa"/>
            <w:gridSpan w:val="24"/>
            <w:shd w:val="clear" w:color="auto" w:fill="auto"/>
            <w:vAlign w:val="center"/>
          </w:tcPr>
          <w:p w14:paraId="778D9CA5" w14:textId="77777777" w:rsidR="00982092" w:rsidRPr="00982092" w:rsidRDefault="00982092" w:rsidP="009820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982092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2026 թվականի ապրիլի 16-ին, ժամը 15:00-ին մրցույթին հայտ ներկայացրած մասնակիցն հրավիրվել է միաժամանակյա բանակցությունների։ Բանակցություններին ներկա են գտնվել  մասնակիցներ՝ «ԱՐՄԵՆԻԱ ԻՆՇՈՒՐԱՆՍ» ԱՍՊ ընկերության և «ՍԻԼ ԻՆՇՈՒՐԱՆՍ» ԱՓԲ ընկերության ներկայացուցիչները :</w:t>
            </w:r>
          </w:p>
          <w:p w14:paraId="2B71C5B4" w14:textId="77777777" w:rsidR="00982092" w:rsidRDefault="00982092" w:rsidP="009820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982092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Բանակցությունների արդյունքում մասնակիցները ներկայացրեցին հետևյալ նոր գնային առաջարկները.</w:t>
            </w:r>
          </w:p>
          <w:p w14:paraId="5D07007C" w14:textId="47A706F9" w:rsidR="00982092" w:rsidRPr="00982092" w:rsidRDefault="00982092" w:rsidP="009820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982092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Սիլ Ինշուրանս ԱՓԲԸ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982092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982092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40,872,000</w:t>
            </w:r>
          </w:p>
          <w:p w14:paraId="4D8B0944" w14:textId="7CF8627D" w:rsidR="00982092" w:rsidRPr="006B5194" w:rsidRDefault="00982092" w:rsidP="009820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982092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ԱՐՄԵՆԻԱ ԻՆՇՈՒՐԱՆՍ Ապահովագրական ՍՊԸ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982092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982092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44,300,000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:</w:t>
            </w:r>
          </w:p>
        </w:tc>
      </w:tr>
      <w:tr w:rsidR="00982092" w:rsidRPr="0048135D" w14:paraId="700CD07F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10ED0606" w14:textId="77777777" w:rsidR="00982092" w:rsidRPr="006B5194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982092" w:rsidRPr="00EC30A8" w14:paraId="521126E1" w14:textId="77777777" w:rsidTr="00050641"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82092" w:rsidRPr="00EC30A8" w14:paraId="552679BF" w14:textId="77777777" w:rsidTr="00050641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Գնահատման արդյունքները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82092" w:rsidRPr="00EC30A8" w14:paraId="3CA6FABC" w14:textId="77777777" w:rsidTr="00050641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Հայտով ներկայացված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փաստաթղթերի 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highlight w:val="yellow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Գնային առաջարկ</w:t>
            </w:r>
          </w:p>
        </w:tc>
      </w:tr>
      <w:tr w:rsidR="00982092" w:rsidRPr="00EC30A8" w14:paraId="5E96A1C5" w14:textId="77777777" w:rsidTr="00050641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982092" w:rsidRPr="00EC30A8" w14:paraId="443F73EF" w14:textId="77777777" w:rsidTr="00050641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982092" w:rsidRPr="00EC30A8" w14:paraId="522ACAFB" w14:textId="77777777" w:rsidTr="00050641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982092" w:rsidRPr="00EC30A8" w:rsidRDefault="00982092" w:rsidP="0098209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05" w:type="dxa"/>
            <w:gridSpan w:val="22"/>
            <w:shd w:val="clear" w:color="auto" w:fill="auto"/>
            <w:vAlign w:val="center"/>
          </w:tcPr>
          <w:p w14:paraId="71AB42B3" w14:textId="77777777" w:rsidR="00982092" w:rsidRPr="00EC30A8" w:rsidRDefault="00982092" w:rsidP="009820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Հայտերի մերժման այլ հիմքեր</w:t>
            </w:r>
          </w:p>
        </w:tc>
      </w:tr>
      <w:tr w:rsidR="00982092" w:rsidRPr="00EC30A8" w14:paraId="617248CD" w14:textId="77777777" w:rsidTr="00050641">
        <w:trPr>
          <w:trHeight w:val="289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982092" w:rsidRPr="00EC30A8" w14:paraId="1515C769" w14:textId="77777777" w:rsidTr="00050641">
        <w:trPr>
          <w:trHeight w:val="346"/>
        </w:trPr>
        <w:tc>
          <w:tcPr>
            <w:tcW w:w="4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82092" w:rsidRPr="00EC30A8" w:rsidRDefault="00982092" w:rsidP="009820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728D220" w:rsidR="00982092" w:rsidRPr="001D08B8" w:rsidRDefault="00982092" w:rsidP="0098209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16.04.2026թ..</w:t>
            </w:r>
          </w:p>
        </w:tc>
      </w:tr>
      <w:tr w:rsidR="00982092" w:rsidRPr="00EC30A8" w14:paraId="71BEA872" w14:textId="77777777" w:rsidTr="00050641">
        <w:trPr>
          <w:trHeight w:val="92"/>
        </w:trPr>
        <w:tc>
          <w:tcPr>
            <w:tcW w:w="4975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982092" w:rsidRPr="0048135D" w:rsidRDefault="00982092" w:rsidP="009820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8135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F2D9A84" w:rsidR="00982092" w:rsidRPr="0048135D" w:rsidRDefault="00982092" w:rsidP="0098209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48135D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38D7705" w:rsidR="00982092" w:rsidRPr="0048135D" w:rsidRDefault="00982092" w:rsidP="0098209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48135D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ավարտ</w:t>
            </w:r>
          </w:p>
        </w:tc>
      </w:tr>
      <w:tr w:rsidR="00982092" w:rsidRPr="005A33B0" w14:paraId="04C80107" w14:textId="77777777" w:rsidTr="00050641">
        <w:trPr>
          <w:trHeight w:val="92"/>
        </w:trPr>
        <w:tc>
          <w:tcPr>
            <w:tcW w:w="497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82092" w:rsidRPr="0048135D" w:rsidRDefault="00982092" w:rsidP="009820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303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B2202" w14:textId="436C0D67" w:rsidR="00982092" w:rsidRPr="0048135D" w:rsidRDefault="00982092" w:rsidP="0098209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48135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17.04.2026թ..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8EDB5FB" w:rsidR="00982092" w:rsidRPr="0048135D" w:rsidRDefault="00982092" w:rsidP="0098209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48135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27.04.2026թ..</w:t>
            </w:r>
          </w:p>
        </w:tc>
      </w:tr>
      <w:tr w:rsidR="00982092" w:rsidRPr="005A33B0" w14:paraId="2254FA5C" w14:textId="77777777" w:rsidTr="00050641">
        <w:trPr>
          <w:trHeight w:val="344"/>
        </w:trPr>
        <w:tc>
          <w:tcPr>
            <w:tcW w:w="801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DCBB28" w14:textId="7A8CD2E7" w:rsidR="00982092" w:rsidRPr="0048135D" w:rsidRDefault="00982092" w:rsidP="009820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48135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9424223" w:rsidR="00982092" w:rsidRPr="0048135D" w:rsidRDefault="00982092" w:rsidP="0098209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48135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05.05.2026թ.</w:t>
            </w:r>
          </w:p>
        </w:tc>
      </w:tr>
      <w:tr w:rsidR="00982092" w:rsidRPr="00914DD5" w14:paraId="2112129F" w14:textId="77777777" w:rsidTr="00050641">
        <w:trPr>
          <w:trHeight w:val="344"/>
        </w:trPr>
        <w:tc>
          <w:tcPr>
            <w:tcW w:w="80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17AD" w14:textId="3D338EE2" w:rsidR="00982092" w:rsidRPr="0048135D" w:rsidRDefault="00982092" w:rsidP="009820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48135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A1F5E" w14:textId="30A26231" w:rsidR="00982092" w:rsidRPr="0048135D" w:rsidRDefault="0048135D" w:rsidP="0048135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48135D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08</w:t>
            </w:r>
            <w:r w:rsidR="00982092" w:rsidRPr="0048135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.05.2026թ.</w:t>
            </w:r>
          </w:p>
        </w:tc>
      </w:tr>
      <w:tr w:rsidR="00982092" w:rsidRPr="00EC30A8" w14:paraId="0682C6BE" w14:textId="77777777" w:rsidTr="00050641">
        <w:trPr>
          <w:trHeight w:val="344"/>
        </w:trPr>
        <w:tc>
          <w:tcPr>
            <w:tcW w:w="80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82092" w:rsidRPr="0048135D" w:rsidRDefault="00982092" w:rsidP="009820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48135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Պատվիրատուի կողմից պայմա</w:t>
            </w:r>
            <w:r w:rsidRPr="0048135D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նագրի ստորագրման ամսաթիվը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670FCD0" w:rsidR="00982092" w:rsidRPr="0048135D" w:rsidRDefault="0048135D" w:rsidP="0098209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8135D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08</w:t>
            </w:r>
            <w:r w:rsidR="00982092" w:rsidRPr="0048135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.05.2026թ.</w:t>
            </w:r>
          </w:p>
        </w:tc>
      </w:tr>
      <w:tr w:rsidR="00982092" w:rsidRPr="00EC30A8" w14:paraId="79A64497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620F225D" w14:textId="77777777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982092" w:rsidRPr="00EC30A8" w14:paraId="4E4EA255" w14:textId="77777777" w:rsidTr="00050641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982092" w:rsidRPr="0048135D" w:rsidRDefault="00982092" w:rsidP="009820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8135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8135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34" w:type="dxa"/>
            <w:gridSpan w:val="23"/>
            <w:shd w:val="clear" w:color="auto" w:fill="auto"/>
            <w:vAlign w:val="center"/>
          </w:tcPr>
          <w:p w14:paraId="0A5086C3" w14:textId="77777777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8135D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Պ</w:t>
            </w:r>
            <w:r w:rsidRPr="0048135D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այմանագ</w:t>
            </w:r>
            <w:r w:rsidRPr="0048135D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րի</w:t>
            </w:r>
          </w:p>
        </w:tc>
      </w:tr>
      <w:tr w:rsidR="00982092" w:rsidRPr="00EC30A8" w14:paraId="11F19FA1" w14:textId="77777777" w:rsidTr="00050641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982092" w:rsidRPr="0048135D" w:rsidRDefault="00982092" w:rsidP="009820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8135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 համարը</w:t>
            </w:r>
            <w:bookmarkStart w:id="0" w:name="_GoBack"/>
            <w:bookmarkEnd w:id="0"/>
          </w:p>
        </w:tc>
        <w:tc>
          <w:tcPr>
            <w:tcW w:w="135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8135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Կնքման ամսաթիվը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8135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7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8135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Կանխա-վճարի չափը</w:t>
            </w:r>
          </w:p>
        </w:tc>
        <w:tc>
          <w:tcPr>
            <w:tcW w:w="3113" w:type="dxa"/>
            <w:gridSpan w:val="5"/>
            <w:shd w:val="clear" w:color="auto" w:fill="auto"/>
            <w:vAlign w:val="center"/>
          </w:tcPr>
          <w:p w14:paraId="0911FBB2" w14:textId="77777777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8135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Գինը</w:t>
            </w:r>
          </w:p>
        </w:tc>
      </w:tr>
      <w:tr w:rsidR="00982092" w:rsidRPr="00EC30A8" w14:paraId="4DC53241" w14:textId="77777777" w:rsidTr="00050641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982092" w:rsidRPr="0048135D" w:rsidRDefault="00982092" w:rsidP="009820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shd w:val="clear" w:color="auto" w:fill="auto"/>
            <w:vAlign w:val="center"/>
          </w:tcPr>
          <w:p w14:paraId="67FA13FC" w14:textId="77777777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55" w:type="dxa"/>
            <w:gridSpan w:val="5"/>
            <w:vMerge/>
            <w:shd w:val="clear" w:color="auto" w:fill="auto"/>
            <w:vAlign w:val="center"/>
          </w:tcPr>
          <w:p w14:paraId="7FDD9C22" w14:textId="77777777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73BBD2A3" w14:textId="77777777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57" w:type="dxa"/>
            <w:gridSpan w:val="3"/>
            <w:vMerge/>
            <w:shd w:val="clear" w:color="auto" w:fill="auto"/>
            <w:vAlign w:val="center"/>
          </w:tcPr>
          <w:p w14:paraId="078CB506" w14:textId="77777777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3" w:type="dxa"/>
            <w:gridSpan w:val="5"/>
            <w:shd w:val="clear" w:color="auto" w:fill="auto"/>
            <w:vAlign w:val="center"/>
          </w:tcPr>
          <w:p w14:paraId="3C0959C2" w14:textId="77777777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8135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ՀՀ դրամ</w:t>
            </w:r>
          </w:p>
        </w:tc>
      </w:tr>
      <w:tr w:rsidR="00982092" w:rsidRPr="00EC30A8" w14:paraId="75FDA7D8" w14:textId="77777777" w:rsidTr="00050641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82092" w:rsidRPr="0048135D" w:rsidRDefault="00982092" w:rsidP="009820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8135D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89A8C4E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982092" w:rsidRPr="00626694" w14:paraId="1E28D31D" w14:textId="77777777" w:rsidTr="0005064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48135D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51197D98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8135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Սիլ Ինշուրանս ԱՓԲԸ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2183B64C" w14:textId="5C9FAC8A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8135D"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   ՀՀ ՆԳՆ ԳՀԾՁԲ-2026/Ա-43</w:t>
            </w:r>
          </w:p>
        </w:tc>
        <w:tc>
          <w:tcPr>
            <w:tcW w:w="1355" w:type="dxa"/>
            <w:gridSpan w:val="5"/>
            <w:shd w:val="clear" w:color="auto" w:fill="auto"/>
            <w:vAlign w:val="center"/>
          </w:tcPr>
          <w:p w14:paraId="54F54951" w14:textId="0A83F985" w:rsidR="00982092" w:rsidRPr="0048135D" w:rsidRDefault="0048135D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48135D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08</w:t>
            </w:r>
            <w:r w:rsidR="00982092" w:rsidRPr="0048135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.05.2026թ.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610A7BBF" w14:textId="2ED48A50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48135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Համաձայնագիրը ուժի մեջ մտնելուց հետո 1 տարի ժամկետով</w:t>
            </w:r>
          </w:p>
        </w:tc>
        <w:tc>
          <w:tcPr>
            <w:tcW w:w="757" w:type="dxa"/>
            <w:gridSpan w:val="3"/>
            <w:shd w:val="clear" w:color="auto" w:fill="auto"/>
            <w:vAlign w:val="center"/>
          </w:tcPr>
          <w:p w14:paraId="6A3A27A0" w14:textId="77777777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540F0BC7" w14:textId="2FF45033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043A549" w14:textId="421A89B3" w:rsidR="00982092" w:rsidRPr="002A0AA7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982092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40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872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982092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000</w:t>
            </w:r>
          </w:p>
        </w:tc>
      </w:tr>
      <w:tr w:rsidR="00982092" w:rsidRPr="00EC30A8" w14:paraId="41E4ED39" w14:textId="77777777" w:rsidTr="00050641">
        <w:trPr>
          <w:trHeight w:val="150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7265AE84" w14:textId="0F645641" w:rsidR="00982092" w:rsidRPr="0048135D" w:rsidRDefault="00982092" w:rsidP="009820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8135D">
              <w:br w:type="page"/>
            </w:r>
            <w:r w:rsidRPr="0048135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982092" w:rsidRPr="00EC30A8" w14:paraId="1F657639" w14:textId="77777777" w:rsidTr="00050641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82092" w:rsidRPr="0048135D" w:rsidRDefault="00982092" w:rsidP="009820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8135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82092" w:rsidRPr="0048135D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8135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82092" w:rsidRPr="0048135D" w:rsidRDefault="00982092" w:rsidP="009820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8135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Հասցե, հեռ.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82092" w:rsidRPr="0048135D" w:rsidRDefault="00982092" w:rsidP="009820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8135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Էլ.-փոստ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82092" w:rsidRPr="0048135D" w:rsidRDefault="00982092" w:rsidP="009820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8135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 հաշիվը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EC62E4" w:rsidR="00982092" w:rsidRPr="00EC30A8" w:rsidRDefault="00982092" w:rsidP="009820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982092" w:rsidRPr="004178CF" w14:paraId="6F1BA40F" w14:textId="77777777" w:rsidTr="0005064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E3B3B" w14:textId="059784E1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31410" w14:textId="5711E454" w:rsidR="00982092" w:rsidRPr="00137E20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37E2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Սիլ Ինշուրանս ԱՓԲԸ</w:t>
            </w: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5642F" w14:textId="64714062" w:rsidR="00982092" w:rsidRPr="00137E20" w:rsidRDefault="00982092" w:rsidP="009820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37E2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ՀՀ, ք.Երևան, Արամի 3.5, Հեռ.` +374 60 54 00 00,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125A9" w14:textId="67BFCF95" w:rsidR="00982092" w:rsidRPr="004178CF" w:rsidRDefault="00C80C62" w:rsidP="00982092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8" w:history="1">
              <w:r w:rsidR="00982092" w:rsidRPr="003E0B61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info@silinsurance.am</w:t>
              </w:r>
            </w:hyperlink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E7BEB" w14:textId="448B7B1E" w:rsidR="00982092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163008157113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4B0B3" w14:textId="35FF0EA2" w:rsidR="00982092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02551341</w:t>
            </w:r>
          </w:p>
        </w:tc>
      </w:tr>
      <w:tr w:rsidR="00982092" w:rsidRPr="004178CF" w14:paraId="496A046D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393BE26B" w14:textId="77777777" w:rsidR="00982092" w:rsidRPr="00F008E4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982092" w:rsidRPr="0048135D" w14:paraId="3863A00B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82092" w:rsidRPr="00586193" w:rsidRDefault="00982092" w:rsidP="0098209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8619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1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982092" w:rsidRPr="00EC30A8" w:rsidRDefault="00982092" w:rsidP="0098209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30A8">
              <w:rPr>
                <w:rFonts w:ascii="GHEA Grapalat" w:eastAsia="Times New Roman" w:hAnsi="GHEA Grapalat" w:cs="Arial Armenian"/>
                <w:sz w:val="16"/>
                <w:szCs w:val="14"/>
                <w:lang w:val="hy-AM" w:eastAsia="ru-RU"/>
              </w:rPr>
              <w:t>։</w:t>
            </w:r>
          </w:p>
        </w:tc>
      </w:tr>
      <w:tr w:rsidR="00982092" w:rsidRPr="0048135D" w14:paraId="485BF528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60FF974B" w14:textId="77777777" w:rsidR="00982092" w:rsidRPr="00465C3A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982092" w:rsidRPr="0048135D" w14:paraId="7DB42300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0AD8E25E" w14:textId="303DA593" w:rsidR="00982092" w:rsidRPr="00465C3A" w:rsidRDefault="00982092" w:rsidP="0098209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BD7385">
              <w:rPr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կարող են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 օրացուցային օրվա ընթացքում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նաև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 w:rsidRPr="00BD7385">
              <w:rPr>
                <w:lang w:val="hy-AM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պատասխանատու ստորաբաժանման հետ համատեղ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կարող են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մասնակցել պայմանագրի արդյունքի ընդունման գործընթացին: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  <w:p w14:paraId="3D70D3AA" w14:textId="1442ECAA" w:rsidR="00982092" w:rsidRPr="00465C3A" w:rsidRDefault="00982092" w:rsidP="0098209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82092" w:rsidRPr="00465C3A" w:rsidRDefault="00982092" w:rsidP="0098209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82092" w:rsidRPr="00465C3A" w:rsidRDefault="00982092" w:rsidP="0098209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82092" w:rsidRPr="00465C3A" w:rsidRDefault="00982092" w:rsidP="0098209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82092" w:rsidRPr="00465C3A" w:rsidRDefault="00982092" w:rsidP="0098209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82092" w:rsidRPr="00465C3A" w:rsidRDefault="00982092" w:rsidP="0098209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2C675C0B" w:rsidR="00982092" w:rsidRPr="00465C3A" w:rsidRDefault="00982092" w:rsidP="0098209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Հայաստանի Հանրապետությունում պետական գրանցում ստացած հասարակական կազմակերպությունների և լրատվական գործունեություն իրականացնող անձանց դեպքում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՝</w:t>
            </w:r>
            <w:r w:rsidRPr="00BD7385">
              <w:rPr>
                <w:lang w:val="hy-AM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տրամադրված վկայականը՝ կնքված վերջինիս կնիքով, և իրենց անձը հաստատող փաստաթուղթը։</w:t>
            </w:r>
          </w:p>
          <w:p w14:paraId="366938C8" w14:textId="11B78092" w:rsidR="00982092" w:rsidRPr="00465C3A" w:rsidRDefault="00982092" w:rsidP="0098209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B2A71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hyperlink r:id="rId9" w:history="1">
              <w:r w:rsidRPr="00177BF8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tv_auto@police.am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B2A71">
              <w:rPr>
                <w:lang w:val="hy-AM"/>
              </w:rPr>
              <w:t xml:space="preserve"> 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:</w:t>
            </w:r>
          </w:p>
        </w:tc>
      </w:tr>
      <w:tr w:rsidR="00982092" w:rsidRPr="0048135D" w14:paraId="3CC8B38C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02AFA8BF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27E950AD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982092" w:rsidRPr="0048135D" w14:paraId="5484FA73" w14:textId="77777777" w:rsidTr="00050641">
        <w:trPr>
          <w:trHeight w:val="439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82092" w:rsidRPr="00EC30A8" w:rsidRDefault="00982092" w:rsidP="009820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40C6E1FF" w:rsidR="00982092" w:rsidRPr="005231D0" w:rsidRDefault="00982092" w:rsidP="009820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5231D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982092" w:rsidRPr="0048135D" w14:paraId="5A7FED5D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0C88E286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7A66F2DC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982092" w:rsidRPr="0048135D" w14:paraId="40B30E88" w14:textId="77777777" w:rsidTr="00050641">
        <w:trPr>
          <w:trHeight w:val="427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82092" w:rsidRPr="00EC30A8" w:rsidRDefault="00982092" w:rsidP="0098209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գործընթացի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շրջանակներում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հակաօրինական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հայտնաբերվելու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դեպքում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այդ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կապակցությամբ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ձեռնարկված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համառոտ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նկարագիրը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8F45A4" w:rsidR="00982092" w:rsidRPr="00EC30A8" w:rsidRDefault="00982092" w:rsidP="009820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82092" w:rsidRPr="0048135D" w14:paraId="541BD7F7" w14:textId="77777777" w:rsidTr="00050641">
        <w:trPr>
          <w:trHeight w:val="288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982092" w:rsidRPr="0048135D" w14:paraId="4DE14D25" w14:textId="77777777" w:rsidTr="00050641">
        <w:trPr>
          <w:trHeight w:val="427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82092" w:rsidRPr="00EC30A8" w:rsidRDefault="00982092" w:rsidP="0098209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465C3A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ընթացակարգի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ներկայացված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բողոքները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9A56C74" w:rsidR="00982092" w:rsidRPr="00EC30A8" w:rsidRDefault="00982092" w:rsidP="009820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վերաբերյալ բողոքներ չեն ներկայացվել</w:t>
            </w:r>
          </w:p>
        </w:tc>
      </w:tr>
      <w:tr w:rsidR="00982092" w:rsidRPr="0048135D" w14:paraId="1DAD5D5C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57597369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982092" w:rsidRPr="00EC30A8" w14:paraId="5F667D89" w14:textId="77777777" w:rsidTr="00050641">
        <w:trPr>
          <w:trHeight w:val="427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82092" w:rsidRPr="00EC30A8" w:rsidRDefault="00982092" w:rsidP="0098209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82092" w:rsidRPr="00EC30A8" w:rsidRDefault="00982092" w:rsidP="009820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</w:tr>
      <w:tr w:rsidR="00982092" w:rsidRPr="00EC30A8" w14:paraId="406B68D6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79EAD146" w14:textId="77777777" w:rsidR="00982092" w:rsidRPr="00EC30A8" w:rsidRDefault="00982092" w:rsidP="00982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982092" w:rsidRPr="00EC30A8" w14:paraId="1A2BD291" w14:textId="77777777" w:rsidTr="00050641">
        <w:trPr>
          <w:trHeight w:val="227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73A19DB3" w14:textId="77777777" w:rsidR="00982092" w:rsidRPr="00EC30A8" w:rsidRDefault="00982092" w:rsidP="0098209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2092" w:rsidRPr="00EC30A8" w14:paraId="002AF1AD" w14:textId="77777777" w:rsidTr="00050641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82092" w:rsidRPr="00EC30A8" w:rsidRDefault="00982092" w:rsidP="0098209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82092" w:rsidRPr="00EC30A8" w:rsidRDefault="00982092" w:rsidP="0098209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</w:t>
            </w:r>
          </w:p>
        </w:tc>
        <w:tc>
          <w:tcPr>
            <w:tcW w:w="3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82092" w:rsidRPr="00EC30A8" w:rsidRDefault="00982092" w:rsidP="0098209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 փոստի հասցեն</w:t>
            </w:r>
          </w:p>
        </w:tc>
      </w:tr>
      <w:tr w:rsidR="00982092" w:rsidRPr="00EC30A8" w14:paraId="6C6C269C" w14:textId="77777777" w:rsidTr="00050641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1512E67F" w:rsidR="00982092" w:rsidRPr="00EC30A8" w:rsidRDefault="00982092" w:rsidP="009820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Աննա Սարգսյան</w:t>
            </w:r>
          </w:p>
        </w:tc>
        <w:tc>
          <w:tcPr>
            <w:tcW w:w="3985" w:type="dxa"/>
            <w:gridSpan w:val="13"/>
            <w:shd w:val="clear" w:color="auto" w:fill="auto"/>
            <w:vAlign w:val="bottom"/>
          </w:tcPr>
          <w:p w14:paraId="570A2BE5" w14:textId="3AFE0E12" w:rsidR="00982092" w:rsidRPr="00EC30A8" w:rsidRDefault="00982092" w:rsidP="009820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010 59 61 52</w:t>
            </w:r>
          </w:p>
        </w:tc>
        <w:tc>
          <w:tcPr>
            <w:tcW w:w="3845" w:type="dxa"/>
            <w:gridSpan w:val="7"/>
            <w:shd w:val="clear" w:color="auto" w:fill="auto"/>
            <w:vAlign w:val="center"/>
          </w:tcPr>
          <w:p w14:paraId="3C42DEDA" w14:textId="0E55F449" w:rsidR="00982092" w:rsidRPr="00EC30A8" w:rsidRDefault="00C80C62" w:rsidP="009820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hyperlink r:id="rId10" w:history="1">
              <w:r w:rsidR="00982092" w:rsidRPr="00694680">
                <w:rPr>
                  <w:rStyle w:val="Hyperlink"/>
                  <w:rFonts w:ascii="GHEA Grapalat" w:eastAsia="Times New Roman" w:hAnsi="GHEA Grapalat"/>
                  <w:b/>
                  <w:bCs/>
                  <w:sz w:val="16"/>
                  <w:szCs w:val="14"/>
                  <w:lang w:eastAsia="ru-RU"/>
                </w:rPr>
                <w:t>gnumner@mia.gov.am</w:t>
              </w:r>
            </w:hyperlink>
            <w:r w:rsidR="00982092">
              <w:t xml:space="preserve"> </w:t>
            </w:r>
          </w:p>
        </w:tc>
      </w:tr>
    </w:tbl>
    <w:p w14:paraId="5047D8E6" w14:textId="77777777" w:rsidR="00B507F3" w:rsidRPr="00DC23A2" w:rsidRDefault="00B507F3" w:rsidP="00B507F3">
      <w:pPr>
        <w:pStyle w:val="NormalWeb"/>
        <w:rPr>
          <w:rFonts w:ascii="GHEA Grapalat" w:hAnsi="GHEA Grapalat"/>
          <w:i/>
          <w:sz w:val="22"/>
        </w:rPr>
      </w:pPr>
      <w:r w:rsidRPr="00DC23A2">
        <w:rPr>
          <w:rFonts w:ascii="GHEA Grapalat" w:hAnsi="GHEA Grapalat"/>
          <w:b/>
          <w:i/>
          <w:sz w:val="22"/>
        </w:rPr>
        <w:t>Պատվիրատու՝</w:t>
      </w:r>
      <w:r w:rsidRPr="00DC23A2">
        <w:rPr>
          <w:rFonts w:ascii="GHEA Grapalat" w:hAnsi="GHEA Grapalat"/>
          <w:i/>
          <w:sz w:val="22"/>
        </w:rPr>
        <w:t xml:space="preserve"> ՀՀ ներքին գործերի նախարարություն</w:t>
      </w:r>
    </w:p>
    <w:sectPr w:rsidR="00B507F3" w:rsidRPr="00DC23A2" w:rsidSect="002D09F8">
      <w:pgSz w:w="11907" w:h="16840" w:code="9"/>
      <w:pgMar w:top="630" w:right="562" w:bottom="54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70422" w14:textId="77777777" w:rsidR="00C80C62" w:rsidRDefault="00C80C62" w:rsidP="0022631D">
      <w:pPr>
        <w:spacing w:before="0" w:after="0"/>
      </w:pPr>
      <w:r>
        <w:separator/>
      </w:r>
    </w:p>
  </w:endnote>
  <w:endnote w:type="continuationSeparator" w:id="0">
    <w:p w14:paraId="7396707C" w14:textId="77777777" w:rsidR="00C80C62" w:rsidRDefault="00C80C6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2E5A5" w14:textId="77777777" w:rsidR="00C80C62" w:rsidRDefault="00C80C62" w:rsidP="0022631D">
      <w:pPr>
        <w:spacing w:before="0" w:after="0"/>
      </w:pPr>
      <w:r>
        <w:separator/>
      </w:r>
    </w:p>
  </w:footnote>
  <w:footnote w:type="continuationSeparator" w:id="0">
    <w:p w14:paraId="24C5B3BA" w14:textId="77777777" w:rsidR="00C80C62" w:rsidRDefault="00C80C6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351E"/>
    <w:multiLevelType w:val="hybridMultilevel"/>
    <w:tmpl w:val="DB445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1044482"/>
    <w:multiLevelType w:val="hybridMultilevel"/>
    <w:tmpl w:val="E468FD32"/>
    <w:lvl w:ilvl="0" w:tplc="E1B68BB4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6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2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 w15:restartNumberingAfterBreak="0">
    <w:nsid w:val="56D26F5C"/>
    <w:multiLevelType w:val="hybridMultilevel"/>
    <w:tmpl w:val="D8DC0D84"/>
    <w:lvl w:ilvl="0" w:tplc="EC10CAFE">
      <w:start w:val="1"/>
      <w:numFmt w:val="decimal"/>
      <w:lvlText w:val="%1."/>
      <w:lvlJc w:val="righ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D1D0385"/>
    <w:multiLevelType w:val="hybridMultilevel"/>
    <w:tmpl w:val="BB1EE9B0"/>
    <w:lvl w:ilvl="0" w:tplc="D8746C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32"/>
  </w:num>
  <w:num w:numId="5">
    <w:abstractNumId w:val="10"/>
  </w:num>
  <w:num w:numId="6">
    <w:abstractNumId w:val="24"/>
  </w:num>
  <w:num w:numId="7">
    <w:abstractNumId w:val="25"/>
  </w:num>
  <w:num w:numId="8">
    <w:abstractNumId w:val="11"/>
  </w:num>
  <w:num w:numId="9">
    <w:abstractNumId w:val="21"/>
  </w:num>
  <w:num w:numId="10">
    <w:abstractNumId w:val="18"/>
  </w:num>
  <w:num w:numId="11">
    <w:abstractNumId w:val="27"/>
  </w:num>
  <w:num w:numId="1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6"/>
  </w:num>
  <w:num w:numId="17">
    <w:abstractNumId w:val="9"/>
  </w:num>
  <w:num w:numId="18">
    <w:abstractNumId w:val="31"/>
  </w:num>
  <w:num w:numId="19">
    <w:abstractNumId w:val="28"/>
  </w:num>
  <w:num w:numId="20">
    <w:abstractNumId w:val="14"/>
  </w:num>
  <w:num w:numId="21">
    <w:abstractNumId w:val="29"/>
  </w:num>
  <w:num w:numId="22">
    <w:abstractNumId w:val="17"/>
  </w:num>
  <w:num w:numId="23">
    <w:abstractNumId w:val="7"/>
  </w:num>
  <w:num w:numId="24">
    <w:abstractNumId w:val="2"/>
  </w:num>
  <w:num w:numId="25">
    <w:abstractNumId w:val="5"/>
  </w:num>
  <w:num w:numId="26">
    <w:abstractNumId w:val="4"/>
  </w:num>
  <w:num w:numId="27">
    <w:abstractNumId w:val="33"/>
  </w:num>
  <w:num w:numId="28">
    <w:abstractNumId w:val="30"/>
  </w:num>
  <w:num w:numId="29">
    <w:abstractNumId w:val="26"/>
  </w:num>
  <w:num w:numId="30">
    <w:abstractNumId w:val="0"/>
  </w:num>
  <w:num w:numId="31">
    <w:abstractNumId w:val="16"/>
  </w:num>
  <w:num w:numId="32">
    <w:abstractNumId w:val="19"/>
  </w:num>
  <w:num w:numId="33">
    <w:abstractNumId w:val="23"/>
  </w:num>
  <w:num w:numId="34">
    <w:abstractNumId w:val="13"/>
  </w:num>
  <w:num w:numId="35">
    <w:abstractNumId w:val="12"/>
  </w:num>
  <w:num w:numId="36">
    <w:abstractNumId w:val="15"/>
  </w:num>
  <w:num w:numId="37">
    <w:abstractNumId w:val="22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5D7"/>
    <w:rsid w:val="00012170"/>
    <w:rsid w:val="00013D30"/>
    <w:rsid w:val="00014E67"/>
    <w:rsid w:val="00031A81"/>
    <w:rsid w:val="00044EA8"/>
    <w:rsid w:val="00046CCF"/>
    <w:rsid w:val="00050641"/>
    <w:rsid w:val="00050FEF"/>
    <w:rsid w:val="00051ECE"/>
    <w:rsid w:val="00063043"/>
    <w:rsid w:val="000642B4"/>
    <w:rsid w:val="0007089E"/>
    <w:rsid w:val="0007090E"/>
    <w:rsid w:val="00073D66"/>
    <w:rsid w:val="000918BA"/>
    <w:rsid w:val="00093FBE"/>
    <w:rsid w:val="0009719A"/>
    <w:rsid w:val="000A5E4F"/>
    <w:rsid w:val="000A7AC4"/>
    <w:rsid w:val="000B0199"/>
    <w:rsid w:val="000B2910"/>
    <w:rsid w:val="000B351A"/>
    <w:rsid w:val="000D167E"/>
    <w:rsid w:val="000D691B"/>
    <w:rsid w:val="000D7148"/>
    <w:rsid w:val="000E1103"/>
    <w:rsid w:val="000E1D30"/>
    <w:rsid w:val="000E4FF1"/>
    <w:rsid w:val="000F376D"/>
    <w:rsid w:val="001021B0"/>
    <w:rsid w:val="001048CC"/>
    <w:rsid w:val="00105981"/>
    <w:rsid w:val="001267FA"/>
    <w:rsid w:val="0013461A"/>
    <w:rsid w:val="00137E20"/>
    <w:rsid w:val="00143648"/>
    <w:rsid w:val="00156C5E"/>
    <w:rsid w:val="00173568"/>
    <w:rsid w:val="0018138F"/>
    <w:rsid w:val="0018422F"/>
    <w:rsid w:val="00190068"/>
    <w:rsid w:val="00196DBB"/>
    <w:rsid w:val="001A1999"/>
    <w:rsid w:val="001A49EE"/>
    <w:rsid w:val="001A7CBE"/>
    <w:rsid w:val="001C1BE1"/>
    <w:rsid w:val="001D08B8"/>
    <w:rsid w:val="001D2F53"/>
    <w:rsid w:val="001E0091"/>
    <w:rsid w:val="001E0833"/>
    <w:rsid w:val="001F46A9"/>
    <w:rsid w:val="00205E07"/>
    <w:rsid w:val="0021290A"/>
    <w:rsid w:val="0022631D"/>
    <w:rsid w:val="00235C0F"/>
    <w:rsid w:val="002513A2"/>
    <w:rsid w:val="002616C4"/>
    <w:rsid w:val="00261F7A"/>
    <w:rsid w:val="002751A4"/>
    <w:rsid w:val="002823E9"/>
    <w:rsid w:val="00284A94"/>
    <w:rsid w:val="002863AD"/>
    <w:rsid w:val="00295B92"/>
    <w:rsid w:val="00296076"/>
    <w:rsid w:val="002A0AA7"/>
    <w:rsid w:val="002D09F8"/>
    <w:rsid w:val="002D1F4D"/>
    <w:rsid w:val="002E4E6F"/>
    <w:rsid w:val="002F16CC"/>
    <w:rsid w:val="002F1FEB"/>
    <w:rsid w:val="003057C4"/>
    <w:rsid w:val="00306798"/>
    <w:rsid w:val="00311ECE"/>
    <w:rsid w:val="003330A9"/>
    <w:rsid w:val="003362F5"/>
    <w:rsid w:val="0033729C"/>
    <w:rsid w:val="00337B7E"/>
    <w:rsid w:val="00341644"/>
    <w:rsid w:val="00354B6C"/>
    <w:rsid w:val="00371B1D"/>
    <w:rsid w:val="003A0346"/>
    <w:rsid w:val="003A245D"/>
    <w:rsid w:val="003B0849"/>
    <w:rsid w:val="003B2758"/>
    <w:rsid w:val="003B43FF"/>
    <w:rsid w:val="003B764D"/>
    <w:rsid w:val="003C5110"/>
    <w:rsid w:val="003D6A82"/>
    <w:rsid w:val="003D6E47"/>
    <w:rsid w:val="003E2E5D"/>
    <w:rsid w:val="003E3D40"/>
    <w:rsid w:val="003E6978"/>
    <w:rsid w:val="0040246B"/>
    <w:rsid w:val="00405A96"/>
    <w:rsid w:val="0041669A"/>
    <w:rsid w:val="004178CF"/>
    <w:rsid w:val="00420FAD"/>
    <w:rsid w:val="00433E3C"/>
    <w:rsid w:val="004407B3"/>
    <w:rsid w:val="0045083A"/>
    <w:rsid w:val="00457EA6"/>
    <w:rsid w:val="00465C3A"/>
    <w:rsid w:val="00467BEB"/>
    <w:rsid w:val="00472069"/>
    <w:rsid w:val="00474C2F"/>
    <w:rsid w:val="00474EE0"/>
    <w:rsid w:val="004750B9"/>
    <w:rsid w:val="004764CD"/>
    <w:rsid w:val="0048135D"/>
    <w:rsid w:val="004875E0"/>
    <w:rsid w:val="0049632A"/>
    <w:rsid w:val="00496DD8"/>
    <w:rsid w:val="004A0E9C"/>
    <w:rsid w:val="004A51F0"/>
    <w:rsid w:val="004B0562"/>
    <w:rsid w:val="004B3123"/>
    <w:rsid w:val="004B6EA9"/>
    <w:rsid w:val="004B7A55"/>
    <w:rsid w:val="004C5DC4"/>
    <w:rsid w:val="004C76B0"/>
    <w:rsid w:val="004C7FE2"/>
    <w:rsid w:val="004D078F"/>
    <w:rsid w:val="004E0E4A"/>
    <w:rsid w:val="004E376E"/>
    <w:rsid w:val="004F30B6"/>
    <w:rsid w:val="004F328D"/>
    <w:rsid w:val="004F43C5"/>
    <w:rsid w:val="004F6A07"/>
    <w:rsid w:val="004F77A1"/>
    <w:rsid w:val="00503007"/>
    <w:rsid w:val="00503BCC"/>
    <w:rsid w:val="0050435B"/>
    <w:rsid w:val="00514B40"/>
    <w:rsid w:val="005231D0"/>
    <w:rsid w:val="00542558"/>
    <w:rsid w:val="00546023"/>
    <w:rsid w:val="00551A6C"/>
    <w:rsid w:val="00556A50"/>
    <w:rsid w:val="00557446"/>
    <w:rsid w:val="00560599"/>
    <w:rsid w:val="005737F9"/>
    <w:rsid w:val="00575BA7"/>
    <w:rsid w:val="00586193"/>
    <w:rsid w:val="005943D1"/>
    <w:rsid w:val="005A0D15"/>
    <w:rsid w:val="005A33B0"/>
    <w:rsid w:val="005A52AB"/>
    <w:rsid w:val="005A5E0B"/>
    <w:rsid w:val="005B3EC9"/>
    <w:rsid w:val="005B781B"/>
    <w:rsid w:val="005B7DB8"/>
    <w:rsid w:val="005C4BE5"/>
    <w:rsid w:val="005D5FBD"/>
    <w:rsid w:val="005E5B07"/>
    <w:rsid w:val="005F6293"/>
    <w:rsid w:val="00602DF2"/>
    <w:rsid w:val="00607C9A"/>
    <w:rsid w:val="00623CF6"/>
    <w:rsid w:val="00626694"/>
    <w:rsid w:val="006310AE"/>
    <w:rsid w:val="00631707"/>
    <w:rsid w:val="006462AB"/>
    <w:rsid w:val="00646760"/>
    <w:rsid w:val="0065269F"/>
    <w:rsid w:val="00657858"/>
    <w:rsid w:val="00666BEE"/>
    <w:rsid w:val="0067743A"/>
    <w:rsid w:val="006819DB"/>
    <w:rsid w:val="00690ECB"/>
    <w:rsid w:val="006A38B4"/>
    <w:rsid w:val="006B2E21"/>
    <w:rsid w:val="006B5194"/>
    <w:rsid w:val="006B5D8E"/>
    <w:rsid w:val="006C0266"/>
    <w:rsid w:val="006C2709"/>
    <w:rsid w:val="006C5757"/>
    <w:rsid w:val="006D3973"/>
    <w:rsid w:val="006E0D92"/>
    <w:rsid w:val="006E1A83"/>
    <w:rsid w:val="006E22B8"/>
    <w:rsid w:val="006E3A61"/>
    <w:rsid w:val="006F2232"/>
    <w:rsid w:val="006F2779"/>
    <w:rsid w:val="006F2DD8"/>
    <w:rsid w:val="006F54DF"/>
    <w:rsid w:val="007060FC"/>
    <w:rsid w:val="0070702D"/>
    <w:rsid w:val="00717859"/>
    <w:rsid w:val="00717D9B"/>
    <w:rsid w:val="00737755"/>
    <w:rsid w:val="0074248A"/>
    <w:rsid w:val="00753E26"/>
    <w:rsid w:val="00761EB8"/>
    <w:rsid w:val="0076660B"/>
    <w:rsid w:val="007732E7"/>
    <w:rsid w:val="00786046"/>
    <w:rsid w:val="0078682E"/>
    <w:rsid w:val="007B7536"/>
    <w:rsid w:val="007C05CA"/>
    <w:rsid w:val="007C14E6"/>
    <w:rsid w:val="007C5906"/>
    <w:rsid w:val="007D013B"/>
    <w:rsid w:val="007D619C"/>
    <w:rsid w:val="007E5302"/>
    <w:rsid w:val="0081420B"/>
    <w:rsid w:val="008224C0"/>
    <w:rsid w:val="0083404C"/>
    <w:rsid w:val="00841307"/>
    <w:rsid w:val="00852D0A"/>
    <w:rsid w:val="00864686"/>
    <w:rsid w:val="0086490C"/>
    <w:rsid w:val="008742A7"/>
    <w:rsid w:val="00877B3D"/>
    <w:rsid w:val="008824AD"/>
    <w:rsid w:val="008912CA"/>
    <w:rsid w:val="008A2821"/>
    <w:rsid w:val="008A61F5"/>
    <w:rsid w:val="008B33FA"/>
    <w:rsid w:val="008C4E62"/>
    <w:rsid w:val="008D34FA"/>
    <w:rsid w:val="008D3753"/>
    <w:rsid w:val="008E493A"/>
    <w:rsid w:val="00902D78"/>
    <w:rsid w:val="0090543E"/>
    <w:rsid w:val="009065FF"/>
    <w:rsid w:val="0090677D"/>
    <w:rsid w:val="00914DD5"/>
    <w:rsid w:val="00916D37"/>
    <w:rsid w:val="00922E47"/>
    <w:rsid w:val="009264B2"/>
    <w:rsid w:val="00931265"/>
    <w:rsid w:val="00936098"/>
    <w:rsid w:val="00942452"/>
    <w:rsid w:val="0094721D"/>
    <w:rsid w:val="009808F7"/>
    <w:rsid w:val="00981A16"/>
    <w:rsid w:val="00982092"/>
    <w:rsid w:val="00986D85"/>
    <w:rsid w:val="00986FEE"/>
    <w:rsid w:val="009A7008"/>
    <w:rsid w:val="009B5642"/>
    <w:rsid w:val="009B6B8F"/>
    <w:rsid w:val="009C3FFF"/>
    <w:rsid w:val="009C5E0F"/>
    <w:rsid w:val="009C7FCF"/>
    <w:rsid w:val="009E05E9"/>
    <w:rsid w:val="009E75FF"/>
    <w:rsid w:val="009F04DE"/>
    <w:rsid w:val="009F0DC5"/>
    <w:rsid w:val="009F478A"/>
    <w:rsid w:val="00A0228A"/>
    <w:rsid w:val="00A1350B"/>
    <w:rsid w:val="00A14C39"/>
    <w:rsid w:val="00A14E91"/>
    <w:rsid w:val="00A17254"/>
    <w:rsid w:val="00A20CA1"/>
    <w:rsid w:val="00A306F5"/>
    <w:rsid w:val="00A31820"/>
    <w:rsid w:val="00A3708A"/>
    <w:rsid w:val="00A37F9A"/>
    <w:rsid w:val="00A434F6"/>
    <w:rsid w:val="00A436C7"/>
    <w:rsid w:val="00A51DC7"/>
    <w:rsid w:val="00A67FE8"/>
    <w:rsid w:val="00A76924"/>
    <w:rsid w:val="00A83CD0"/>
    <w:rsid w:val="00A91D71"/>
    <w:rsid w:val="00A95E4A"/>
    <w:rsid w:val="00A97834"/>
    <w:rsid w:val="00AA32E4"/>
    <w:rsid w:val="00AB3A8E"/>
    <w:rsid w:val="00AB66B3"/>
    <w:rsid w:val="00AB7057"/>
    <w:rsid w:val="00AC5F37"/>
    <w:rsid w:val="00AD07B9"/>
    <w:rsid w:val="00AD3446"/>
    <w:rsid w:val="00AD59DC"/>
    <w:rsid w:val="00AE2B02"/>
    <w:rsid w:val="00AF6809"/>
    <w:rsid w:val="00B07251"/>
    <w:rsid w:val="00B241DE"/>
    <w:rsid w:val="00B3534A"/>
    <w:rsid w:val="00B45B14"/>
    <w:rsid w:val="00B470E4"/>
    <w:rsid w:val="00B507F3"/>
    <w:rsid w:val="00B52121"/>
    <w:rsid w:val="00B75762"/>
    <w:rsid w:val="00B844E5"/>
    <w:rsid w:val="00B853F1"/>
    <w:rsid w:val="00B871E8"/>
    <w:rsid w:val="00B91DE2"/>
    <w:rsid w:val="00B94EA2"/>
    <w:rsid w:val="00B96CC2"/>
    <w:rsid w:val="00B97C57"/>
    <w:rsid w:val="00BA03B0"/>
    <w:rsid w:val="00BB0A93"/>
    <w:rsid w:val="00BB2A71"/>
    <w:rsid w:val="00BC2EEA"/>
    <w:rsid w:val="00BC35BD"/>
    <w:rsid w:val="00BD3D4E"/>
    <w:rsid w:val="00BD7385"/>
    <w:rsid w:val="00BE3926"/>
    <w:rsid w:val="00BF1465"/>
    <w:rsid w:val="00BF19BB"/>
    <w:rsid w:val="00BF4745"/>
    <w:rsid w:val="00C07662"/>
    <w:rsid w:val="00C238B5"/>
    <w:rsid w:val="00C350BA"/>
    <w:rsid w:val="00C44082"/>
    <w:rsid w:val="00C55719"/>
    <w:rsid w:val="00C6283F"/>
    <w:rsid w:val="00C67BA9"/>
    <w:rsid w:val="00C80C62"/>
    <w:rsid w:val="00C84DF7"/>
    <w:rsid w:val="00C90BAE"/>
    <w:rsid w:val="00C9185A"/>
    <w:rsid w:val="00C95758"/>
    <w:rsid w:val="00C96337"/>
    <w:rsid w:val="00C96BED"/>
    <w:rsid w:val="00CA7118"/>
    <w:rsid w:val="00CB005E"/>
    <w:rsid w:val="00CB13A3"/>
    <w:rsid w:val="00CB44D2"/>
    <w:rsid w:val="00CC1F23"/>
    <w:rsid w:val="00CC5EB7"/>
    <w:rsid w:val="00CD638C"/>
    <w:rsid w:val="00CF1F70"/>
    <w:rsid w:val="00CF20B4"/>
    <w:rsid w:val="00CF67A7"/>
    <w:rsid w:val="00D013CE"/>
    <w:rsid w:val="00D05124"/>
    <w:rsid w:val="00D32791"/>
    <w:rsid w:val="00D350DE"/>
    <w:rsid w:val="00D36189"/>
    <w:rsid w:val="00D57869"/>
    <w:rsid w:val="00D65AA7"/>
    <w:rsid w:val="00D715AF"/>
    <w:rsid w:val="00D779FE"/>
    <w:rsid w:val="00D80C64"/>
    <w:rsid w:val="00D82F8D"/>
    <w:rsid w:val="00D91686"/>
    <w:rsid w:val="00DA47F7"/>
    <w:rsid w:val="00DB2545"/>
    <w:rsid w:val="00DB73FD"/>
    <w:rsid w:val="00DC23A2"/>
    <w:rsid w:val="00DC5C98"/>
    <w:rsid w:val="00DC6929"/>
    <w:rsid w:val="00DD6660"/>
    <w:rsid w:val="00DE06F1"/>
    <w:rsid w:val="00DF45B4"/>
    <w:rsid w:val="00E02BA6"/>
    <w:rsid w:val="00E12C93"/>
    <w:rsid w:val="00E1714A"/>
    <w:rsid w:val="00E23397"/>
    <w:rsid w:val="00E243EA"/>
    <w:rsid w:val="00E2548D"/>
    <w:rsid w:val="00E32156"/>
    <w:rsid w:val="00E3380C"/>
    <w:rsid w:val="00E33A25"/>
    <w:rsid w:val="00E3414B"/>
    <w:rsid w:val="00E36887"/>
    <w:rsid w:val="00E40A23"/>
    <w:rsid w:val="00E4188B"/>
    <w:rsid w:val="00E53DBD"/>
    <w:rsid w:val="00E54C4D"/>
    <w:rsid w:val="00E56328"/>
    <w:rsid w:val="00E74643"/>
    <w:rsid w:val="00E860D0"/>
    <w:rsid w:val="00EA01A2"/>
    <w:rsid w:val="00EA568C"/>
    <w:rsid w:val="00EA767F"/>
    <w:rsid w:val="00EA7CF5"/>
    <w:rsid w:val="00EB4469"/>
    <w:rsid w:val="00EB4734"/>
    <w:rsid w:val="00EB59EE"/>
    <w:rsid w:val="00EB5C8A"/>
    <w:rsid w:val="00EC0009"/>
    <w:rsid w:val="00EC0E51"/>
    <w:rsid w:val="00EC30A8"/>
    <w:rsid w:val="00EC6C64"/>
    <w:rsid w:val="00EE113C"/>
    <w:rsid w:val="00EF16D0"/>
    <w:rsid w:val="00F008E4"/>
    <w:rsid w:val="00F03287"/>
    <w:rsid w:val="00F03834"/>
    <w:rsid w:val="00F077EA"/>
    <w:rsid w:val="00F10AFE"/>
    <w:rsid w:val="00F14F5B"/>
    <w:rsid w:val="00F31004"/>
    <w:rsid w:val="00F338D8"/>
    <w:rsid w:val="00F343B8"/>
    <w:rsid w:val="00F379EB"/>
    <w:rsid w:val="00F46FE5"/>
    <w:rsid w:val="00F64167"/>
    <w:rsid w:val="00F6673B"/>
    <w:rsid w:val="00F70589"/>
    <w:rsid w:val="00F77AAD"/>
    <w:rsid w:val="00F91317"/>
    <w:rsid w:val="00F916C4"/>
    <w:rsid w:val="00F93A46"/>
    <w:rsid w:val="00FA664F"/>
    <w:rsid w:val="00FB097B"/>
    <w:rsid w:val="00FC5DAD"/>
    <w:rsid w:val="00FC5FD5"/>
    <w:rsid w:val="00FE0F8F"/>
    <w:rsid w:val="00FF2E93"/>
    <w:rsid w:val="00FF4B53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D77FF905-711A-4E1E-AA48-E178E5F7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B6B8F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B6B8F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9B6B8F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B6B8F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B6B8F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B6B8F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B6B8F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9B6B8F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0A8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F03834"/>
    <w:rPr>
      <w:rFonts w:ascii="Arial" w:eastAsia="Times New Roman" w:hAnsi="Arial" w:cs="Times New Roman"/>
      <w:color w:val="000000"/>
      <w:shd w:val="clear" w:color="auto" w:fill="FFFFFF"/>
      <w:lang w:val="ru-RU" w:eastAsia="ru-RU"/>
    </w:rPr>
  </w:style>
  <w:style w:type="paragraph" w:styleId="BodyText">
    <w:name w:val="Body Text"/>
    <w:basedOn w:val="Normal"/>
    <w:link w:val="BodyTextChar"/>
    <w:rsid w:val="00F03834"/>
    <w:pPr>
      <w:shd w:val="clear" w:color="auto" w:fill="FFFFFF"/>
      <w:suppressAutoHyphens/>
      <w:spacing w:before="0" w:after="0"/>
      <w:ind w:left="0" w:firstLine="0"/>
      <w:jc w:val="center"/>
    </w:pPr>
    <w:rPr>
      <w:rFonts w:ascii="Arial" w:eastAsia="Times New Roman" w:hAnsi="Arial"/>
      <w:color w:val="000000"/>
      <w:lang w:val="ru-RU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F03834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B507F3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18138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37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B6B8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9B6B8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B6B8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B6B8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B6B8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B6B8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9B6B8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unhideWhenUsed/>
    <w:rsid w:val="009B6B8F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B6B8F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9B6B8F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B6B8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9B6B8F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B6B8F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9B6B8F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B6B8F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B6B8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9B6B8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9B6B8F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9B6B8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Index1">
    <w:name w:val="index 1"/>
    <w:basedOn w:val="Normal"/>
    <w:next w:val="Normal"/>
    <w:autoRedefine/>
    <w:semiHidden/>
    <w:rsid w:val="009B6B8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9B6B8F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9B6B8F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B6B8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9B6B8F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B6B8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B6B8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B6B8F"/>
  </w:style>
  <w:style w:type="paragraph" w:customStyle="1" w:styleId="CharCharCharCharCharCharCharCharCharCharCharChar">
    <w:name w:val="Char Char Char Char Char Char Char Char Char Char Char Char"/>
    <w:basedOn w:val="Normal"/>
    <w:rsid w:val="009B6B8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B6B8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9B6B8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9B6B8F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9B6B8F"/>
    <w:rPr>
      <w:b/>
      <w:bCs/>
    </w:rPr>
  </w:style>
  <w:style w:type="character" w:customStyle="1" w:styleId="CharChar22">
    <w:name w:val="Char Char22"/>
    <w:rsid w:val="009B6B8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B6B8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B6B8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B6B8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9B6B8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9B6B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B6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B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9B6B8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9B6B8F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9B6B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9B6B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TableGrid2">
    <w:name w:val="Table Grid2"/>
    <w:basedOn w:val="TableNormal"/>
    <w:next w:val="TableGrid"/>
    <w:uiPriority w:val="39"/>
    <w:rsid w:val="009B6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9B6B8F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9B6B8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9B6B8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9B6B8F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B6B8F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9B6B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9B6B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9B6B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9B6B8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9B6B8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9B6B8F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9B6B8F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B6B8F"/>
    <w:rPr>
      <w:rFonts w:ascii="Calibri" w:eastAsia="Calibri" w:hAnsi="Calibri" w:cs="Times New Roman"/>
    </w:rPr>
  </w:style>
  <w:style w:type="character" w:styleId="Emphasis">
    <w:name w:val="Emphasis"/>
    <w:qFormat/>
    <w:rsid w:val="009B6B8F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9B6B8F"/>
    <w:rPr>
      <w:color w:val="605E5C"/>
      <w:shd w:val="clear" w:color="auto" w:fill="E1DFDD"/>
    </w:rPr>
  </w:style>
  <w:style w:type="character" w:customStyle="1" w:styleId="CharChar4">
    <w:name w:val="Char Char4"/>
    <w:locked/>
    <w:rsid w:val="009B6B8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9B6B8F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Normal"/>
    <w:rsid w:val="009B6B8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Chars="100" w:firstLine="10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9B6B8F"/>
    <w:pP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Normal"/>
    <w:rsid w:val="009B6B8F"/>
    <w:pPr>
      <w:pBdr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9B6B8F"/>
    <w:pP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9B6B8F"/>
    <w:pPr>
      <w:pBdr>
        <w:bottom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insuranc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numner@mi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_auto@pol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3C85E-2238-4052-B33B-B6D1B38E3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3137</Words>
  <Characters>17883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Sargsyan</cp:lastModifiedBy>
  <cp:revision>302</cp:revision>
  <cp:lastPrinted>2026-05-11T05:57:00Z</cp:lastPrinted>
  <dcterms:created xsi:type="dcterms:W3CDTF">2021-06-28T12:08:00Z</dcterms:created>
  <dcterms:modified xsi:type="dcterms:W3CDTF">2026-05-11T05:58:00Z</dcterms:modified>
</cp:coreProperties>
</file>