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C7649C0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846197">
        <w:rPr>
          <w:rFonts w:ascii="GHEA Grapalat" w:hAnsi="GHEA Grapalat"/>
          <w:b w:val="0"/>
          <w:sz w:val="16"/>
          <w:szCs w:val="16"/>
          <w:lang w:val="af-ZA"/>
        </w:rPr>
        <w:t>ՍՄՏՀ–ՄԱԱՊՁԲ–23/60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6C35A181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846197">
        <w:rPr>
          <w:rFonts w:ascii="GHEA Grapalat" w:hAnsi="GHEA Grapalat"/>
          <w:sz w:val="16"/>
          <w:szCs w:val="16"/>
          <w:lang w:val="hy-AM"/>
        </w:rPr>
        <w:t>Շինարարական ապրանքներ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846197">
        <w:rPr>
          <w:rFonts w:ascii="GHEA Grapalat" w:hAnsi="GHEA Grapalat"/>
          <w:b/>
          <w:sz w:val="16"/>
          <w:szCs w:val="16"/>
          <w:lang w:val="af-ZA"/>
        </w:rPr>
        <w:t>ՍՄՏՀ–ՄԱԱՊՁԲ–23/60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496F8AE2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14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576BA2DC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C4201A">
        <w:rPr>
          <w:rFonts w:ascii="GHEA Grapalat" w:hAnsi="GHEA Grapalat"/>
          <w:sz w:val="18"/>
          <w:szCs w:val="18"/>
          <w:lang w:val="hy-AM"/>
        </w:rPr>
        <w:t>Կցամաս դետալ 75*75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7CBE1D96" w:rsidR="008B206E" w:rsidRPr="00033FA0" w:rsidRDefault="0077308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773085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2CA36084" w:rsidR="00F760B0" w:rsidRPr="00033FA0" w:rsidRDefault="0077308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421CA892" w:rsidR="00F760B0" w:rsidRPr="00AC648B" w:rsidRDefault="005630CD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28500</w:t>
            </w:r>
          </w:p>
        </w:tc>
      </w:tr>
    </w:tbl>
    <w:p w14:paraId="1162CE66" w14:textId="39BBA7F1" w:rsidR="007A58AD" w:rsidRPr="008E03E2" w:rsidRDefault="007A58AD" w:rsidP="007A58A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B20B0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C4201A">
        <w:rPr>
          <w:rFonts w:ascii="GHEA Grapalat" w:hAnsi="GHEA Grapalat"/>
          <w:sz w:val="18"/>
          <w:szCs w:val="18"/>
          <w:lang w:val="hy-AM"/>
        </w:rPr>
        <w:t>Կցամաս դետալ  50*50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7A58AD" w:rsidRPr="00033FA0" w14:paraId="5EF9E7A8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694E3D7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8F57F34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1DCE66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B83F718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AB3DF8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4751C74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D13AF3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CF4795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A58AD" w:rsidRPr="00033FA0" w14:paraId="75A474C8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43911A4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C6692DA" w14:textId="164ECEBA" w:rsidR="007A58AD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61C799B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D7202EE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E73336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A58AD" w:rsidRPr="00773085" w14:paraId="4B54E71C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1211883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DB63D2C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35583D2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AEEA07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7A58AD" w:rsidRPr="00033FA0" w14:paraId="46B7276F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332EB7A" w14:textId="61BC2CBB" w:rsidR="007A58AD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38053AE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D170212" w14:textId="4161FDAE" w:rsidR="007A58AD" w:rsidRPr="00AC648B" w:rsidRDefault="005630C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2800</w:t>
            </w:r>
          </w:p>
        </w:tc>
      </w:tr>
    </w:tbl>
    <w:p w14:paraId="233323A3" w14:textId="3A3210A9" w:rsidR="007A58AD" w:rsidRPr="008E03E2" w:rsidRDefault="007A58AD" w:rsidP="007A58A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B20B0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C4201A">
        <w:rPr>
          <w:rFonts w:ascii="GHEA Grapalat" w:hAnsi="GHEA Grapalat"/>
          <w:sz w:val="18"/>
          <w:szCs w:val="18"/>
          <w:lang w:val="hy-AM"/>
        </w:rPr>
        <w:t>Դռան փականի մեխանիզմ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7A58AD" w:rsidRPr="00033FA0" w14:paraId="631425CD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BEADE95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C69E712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D2A1F1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C9B4C86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D3B6CD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118B5B6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FFB57F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E2B3B0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A58AD" w:rsidRPr="00033FA0" w14:paraId="73A3D439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6FB1286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9026B7B" w14:textId="079A29A1" w:rsidR="007A58AD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CE22E7E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C1E6552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21FAEB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A58AD" w:rsidRPr="00773085" w14:paraId="509FBB01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F117A27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C88164B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BCBF2EB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32F9A3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7A58AD" w:rsidRPr="00033FA0" w14:paraId="335AB0F6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AD5F892" w14:textId="512D6B21" w:rsidR="007A58AD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DADBF66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D947509" w14:textId="503C3EC9" w:rsidR="007A58AD" w:rsidRPr="00AC648B" w:rsidRDefault="004C5EE7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2050</w:t>
            </w:r>
          </w:p>
        </w:tc>
      </w:tr>
    </w:tbl>
    <w:p w14:paraId="6AE16BFE" w14:textId="47BA9439" w:rsidR="007A58AD" w:rsidRPr="008E03E2" w:rsidRDefault="007A58AD" w:rsidP="007A58A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B20B0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E6E">
        <w:rPr>
          <w:rFonts w:ascii="GHEA Grapalat" w:hAnsi="GHEA Grapalat"/>
          <w:sz w:val="18"/>
          <w:szCs w:val="18"/>
          <w:lang w:val="hy-AM"/>
        </w:rPr>
        <w:t>Ավտոմատ անջատիչ  220Վ/տ 25Ա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7A58AD" w:rsidRPr="00033FA0" w14:paraId="2F30AF04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4F8CDE8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8002702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E53683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C69480A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D5244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A49E21B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73F2C3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34EB38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A58AD" w:rsidRPr="00033FA0" w14:paraId="4390F0B1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9B706F7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D931BC0" w14:textId="316CD629" w:rsidR="007A58AD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F9C95DB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52DA4D7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197B03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A58AD" w:rsidRPr="00773085" w14:paraId="2176841E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A6E7E89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BF90524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B4718D5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908CCF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7A58AD" w:rsidRPr="00033FA0" w14:paraId="32726CAC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AB73F1A" w14:textId="1138D7E2" w:rsidR="007A58AD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2FCA35F" w14:textId="77777777" w:rsidR="007A58AD" w:rsidRPr="00033FA0" w:rsidRDefault="007A58AD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1144A47" w14:textId="7E8723E6" w:rsidR="007A58AD" w:rsidRPr="00AC648B" w:rsidRDefault="00543E04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11000</w:t>
            </w:r>
          </w:p>
        </w:tc>
      </w:tr>
    </w:tbl>
    <w:p w14:paraId="5945A5D5" w14:textId="51F49144" w:rsidR="00BB20B0" w:rsidRPr="008E03E2" w:rsidRDefault="00BB20B0" w:rsidP="00BB20B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E6E">
        <w:rPr>
          <w:rFonts w:ascii="GHEA Grapalat" w:hAnsi="GHEA Grapalat"/>
          <w:sz w:val="18"/>
          <w:szCs w:val="18"/>
          <w:lang w:val="hy-AM"/>
        </w:rPr>
        <w:t>Ալմաստ  ապակի կտրող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BB20B0" w:rsidRPr="00033FA0" w14:paraId="731AA33A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FF7CB7F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046AF4A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BF6FCA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5308448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4F8737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3030048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2E7F95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E13E2B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B20B0" w:rsidRPr="00033FA0" w14:paraId="6F8D14D6" w14:textId="77777777" w:rsidTr="004747A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FF4DD55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FDBEA0F" w14:textId="4AA4934A" w:rsidR="00BB20B0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2AF15AB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1DF2141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0B962C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B20B0" w:rsidRPr="00773085" w14:paraId="76A132C5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2654384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1DBD679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9BFD0A5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B45156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B20B0" w:rsidRPr="00033FA0" w14:paraId="7464876D" w14:textId="77777777" w:rsidTr="004747A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125AA4D" w14:textId="4A7DF744" w:rsidR="00BB20B0" w:rsidRPr="00033FA0" w:rsidRDefault="00773085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“ՄԱԴ-ԴԱՍ» 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D0313D4" w14:textId="77777777" w:rsidR="00BB20B0" w:rsidRPr="00033FA0" w:rsidRDefault="00BB20B0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A1C8D46" w14:textId="437F6D43" w:rsidR="00BB20B0" w:rsidRPr="00AC648B" w:rsidRDefault="00543E04" w:rsidP="004747A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2400</w:t>
            </w:r>
          </w:p>
        </w:tc>
      </w:tr>
    </w:tbl>
    <w:p w14:paraId="365D11C3" w14:textId="77777777" w:rsidR="007A58AD" w:rsidRDefault="007A58AD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99E6032" w14:textId="77777777" w:rsidR="007A58AD" w:rsidRDefault="007A58AD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2B7F319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ECA7ACC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46197">
        <w:rPr>
          <w:rFonts w:ascii="GHEA Grapalat" w:hAnsi="GHEA Grapalat"/>
          <w:sz w:val="16"/>
          <w:szCs w:val="16"/>
          <w:lang w:val="af-ZA"/>
        </w:rPr>
        <w:t>ՍՄՏՀ–ՄԱԱՊՁԲ–23/60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3085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207</cp:revision>
  <cp:lastPrinted>2022-01-24T12:21:00Z</cp:lastPrinted>
  <dcterms:created xsi:type="dcterms:W3CDTF">2022-11-03T08:57:00Z</dcterms:created>
  <dcterms:modified xsi:type="dcterms:W3CDTF">2023-12-14T11:18:00Z</dcterms:modified>
</cp:coreProperties>
</file>