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06" w:rsidRPr="00EB38E6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EB38E6" w:rsidRDefault="003F68F0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ԵՋԷԿ-ԳՀԱՊՁԲ-19/153</w:t>
      </w:r>
      <w:r w:rsidR="00C33706" w:rsidRPr="00EB38E6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515354">
        <w:rPr>
          <w:rFonts w:ascii="GHEA Grapalat" w:hAnsi="GHEA Grapalat"/>
          <w:sz w:val="20"/>
          <w:szCs w:val="20"/>
        </w:rPr>
        <w:t>հոկտեմբերի</w:t>
      </w:r>
      <w:proofErr w:type="spellEnd"/>
      <w:r w:rsidRPr="00EB38E6">
        <w:rPr>
          <w:rFonts w:ascii="GHEA Grapalat" w:hAnsi="GHEA Grapalat"/>
          <w:sz w:val="20"/>
          <w:szCs w:val="20"/>
          <w:lang w:val="hy-AM"/>
        </w:rPr>
        <w:t xml:space="preserve"> </w:t>
      </w:r>
      <w:r w:rsidR="00515354" w:rsidRPr="00515354">
        <w:rPr>
          <w:rFonts w:ascii="GHEA Grapalat" w:hAnsi="GHEA Grapalat"/>
          <w:sz w:val="20"/>
          <w:szCs w:val="20"/>
          <w:lang w:val="af-ZA"/>
        </w:rPr>
        <w:t>3</w:t>
      </w:r>
      <w:r w:rsidR="003F68F0">
        <w:rPr>
          <w:rFonts w:ascii="GHEA Grapalat" w:hAnsi="GHEA Grapalat"/>
          <w:sz w:val="20"/>
          <w:szCs w:val="20"/>
          <w:lang w:val="hy-AM"/>
        </w:rPr>
        <w:t>0</w:t>
      </w:r>
      <w:r w:rsidRPr="00EB38E6">
        <w:rPr>
          <w:rFonts w:ascii="GHEA Grapalat" w:hAnsi="GHEA Grapalat"/>
          <w:sz w:val="20"/>
          <w:szCs w:val="20"/>
          <w:lang w:val="af-ZA"/>
        </w:rPr>
        <w:t>-</w:t>
      </w:r>
      <w:r w:rsidRPr="00EB38E6">
        <w:rPr>
          <w:rFonts w:ascii="GHEA Grapalat" w:hAnsi="GHEA Grapalat"/>
          <w:sz w:val="20"/>
          <w:szCs w:val="20"/>
        </w:rPr>
        <w:t>ի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EB38E6">
        <w:rPr>
          <w:rFonts w:ascii="GHEA Grapalat" w:hAnsi="GHEA Grapalat"/>
          <w:sz w:val="20"/>
          <w:szCs w:val="20"/>
          <w:lang w:val="af-ZA"/>
        </w:rPr>
        <w:t>2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EB38E6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C33706" w:rsidRPr="00EB38E6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3F68F0">
        <w:rPr>
          <w:rFonts w:ascii="GHEA Grapalat" w:hAnsi="GHEA Grapalat"/>
          <w:sz w:val="24"/>
          <w:szCs w:val="24"/>
          <w:lang w:val="hy-AM"/>
        </w:rPr>
        <w:t>ԵՋԷԿ-ԳՀԱՊՁԲ-19/153</w:t>
      </w: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ՓԲԸ-ն ստորև ներկայացնում է իր կարիքների համար </w:t>
      </w:r>
      <w:proofErr w:type="spellStart"/>
      <w:r w:rsidR="003F68F0" w:rsidRPr="003F68F0">
        <w:rPr>
          <w:rFonts w:ascii="GHEA Grapalat" w:eastAsia="Times New Roman" w:hAnsi="GHEA Grapalat" w:cs="Sylfaen"/>
          <w:sz w:val="20"/>
          <w:szCs w:val="20"/>
          <w:lang w:val="es-ES" w:eastAsia="ru-RU"/>
        </w:rPr>
        <w:t>թվային</w:t>
      </w:r>
      <w:proofErr w:type="spellEnd"/>
      <w:r w:rsidR="003F68F0" w:rsidRPr="003F68F0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3F68F0" w:rsidRPr="003F68F0">
        <w:rPr>
          <w:rFonts w:ascii="GHEA Grapalat" w:eastAsia="Times New Roman" w:hAnsi="GHEA Grapalat" w:cs="Sylfaen"/>
          <w:sz w:val="20"/>
          <w:szCs w:val="20"/>
          <w:lang w:val="es-ES" w:eastAsia="ru-RU"/>
        </w:rPr>
        <w:t>չափիչ</w:t>
      </w:r>
      <w:proofErr w:type="spellEnd"/>
      <w:r w:rsidR="003F68F0" w:rsidRPr="003F68F0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3F68F0" w:rsidRPr="003F68F0">
        <w:rPr>
          <w:rFonts w:ascii="GHEA Grapalat" w:eastAsia="Times New Roman" w:hAnsi="GHEA Grapalat" w:cs="Sylfaen"/>
          <w:sz w:val="20"/>
          <w:szCs w:val="20"/>
          <w:lang w:val="es-ES" w:eastAsia="ru-RU"/>
        </w:rPr>
        <w:t>մուլտիմետրի</w:t>
      </w:r>
      <w:proofErr w:type="spellEnd"/>
      <w:r w:rsidR="003F68F0" w:rsidRPr="003F68F0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և  </w:t>
      </w:r>
      <w:proofErr w:type="spellStart"/>
      <w:r w:rsidR="003F68F0" w:rsidRPr="003F68F0">
        <w:rPr>
          <w:rFonts w:ascii="GHEA Grapalat" w:eastAsia="Times New Roman" w:hAnsi="GHEA Grapalat" w:cs="Sylfaen"/>
          <w:sz w:val="20"/>
          <w:szCs w:val="20"/>
          <w:lang w:val="es-ES" w:eastAsia="ru-RU"/>
        </w:rPr>
        <w:t>կալիբրացիոն</w:t>
      </w:r>
      <w:proofErr w:type="spellEnd"/>
      <w:r w:rsidR="003F68F0" w:rsidRPr="003F68F0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3F68F0" w:rsidRPr="003F68F0">
        <w:rPr>
          <w:rFonts w:ascii="GHEA Grapalat" w:eastAsia="Times New Roman" w:hAnsi="GHEA Grapalat" w:cs="Sylfaen"/>
          <w:sz w:val="20"/>
          <w:szCs w:val="20"/>
          <w:lang w:val="es-ES" w:eastAsia="ru-RU"/>
        </w:rPr>
        <w:t>բուֆերների</w:t>
      </w:r>
      <w:proofErr w:type="spellEnd"/>
      <w:r w:rsidR="003F68F0" w:rsidRPr="003F68F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F68F0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ԵՋԷԿ-ԳՀԱՊՁԲ-19/153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960"/>
        <w:gridCol w:w="1260"/>
        <w:gridCol w:w="1973"/>
        <w:gridCol w:w="1942"/>
      </w:tblGrid>
      <w:tr w:rsidR="00C33706" w:rsidRPr="003F68F0" w:rsidTr="00545D68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3F68F0" w:rsidRPr="003F68F0" w:rsidTr="001E28EC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F68F0" w:rsidRPr="00EB38E6" w:rsidRDefault="003F68F0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8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F68F0" w:rsidRPr="00C67760" w:rsidRDefault="003F68F0" w:rsidP="00D37928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C67760">
              <w:rPr>
                <w:rFonts w:ascii="GHEA Grapalat" w:hAnsi="GHEA Grapalat"/>
              </w:rPr>
              <w:t>Չափիչ</w:t>
            </w:r>
            <w:proofErr w:type="spellEnd"/>
            <w:r w:rsidRPr="00C67760">
              <w:rPr>
                <w:rFonts w:ascii="GHEA Grapalat" w:hAnsi="GHEA Grapalat"/>
              </w:rPr>
              <w:t xml:space="preserve"> </w:t>
            </w:r>
            <w:proofErr w:type="spellStart"/>
            <w:r w:rsidRPr="00C67760">
              <w:rPr>
                <w:rFonts w:ascii="GHEA Grapalat" w:hAnsi="GHEA Grapalat"/>
              </w:rPr>
              <w:t>մուլտիմետեր</w:t>
            </w:r>
            <w:proofErr w:type="spellEnd"/>
            <w:r w:rsidRPr="00C67760">
              <w:rPr>
                <w:rFonts w:ascii="GHEA Grapalat" w:hAnsi="GHEA Grapalat"/>
              </w:rPr>
              <w:t xml:space="preserve"> </w:t>
            </w:r>
            <w:proofErr w:type="spellStart"/>
            <w:r w:rsidRPr="00C67760">
              <w:rPr>
                <w:rFonts w:ascii="GHEA Grapalat" w:hAnsi="GHEA Grapalat"/>
              </w:rPr>
              <w:t>թվային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F68F0" w:rsidRPr="003F68F0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F68F0" w:rsidRPr="00EB38E6" w:rsidRDefault="003F68F0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38E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F68F0" w:rsidRPr="00C67760" w:rsidRDefault="003F68F0" w:rsidP="00D37928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C67760">
              <w:rPr>
                <w:rFonts w:ascii="GHEA Grapalat" w:hAnsi="GHEA Grapalat"/>
              </w:rPr>
              <w:t>Կալիբրացիոն</w:t>
            </w:r>
            <w:proofErr w:type="spellEnd"/>
            <w:r w:rsidRPr="00C67760">
              <w:rPr>
                <w:rFonts w:ascii="GHEA Grapalat" w:hAnsi="GHEA Grapalat"/>
              </w:rPr>
              <w:t xml:space="preserve"> </w:t>
            </w:r>
            <w:proofErr w:type="spellStart"/>
            <w:r w:rsidRPr="00C67760">
              <w:rPr>
                <w:rFonts w:ascii="GHEA Grapalat" w:hAnsi="GHEA Grapalat"/>
              </w:rPr>
              <w:t>բուֆեր</w:t>
            </w:r>
            <w:proofErr w:type="spellEnd"/>
            <w:r w:rsidRPr="00C6776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F68F0" w:rsidRPr="003F68F0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F68F0" w:rsidRPr="00545D68" w:rsidRDefault="003F68F0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F68F0" w:rsidRPr="00C67760" w:rsidRDefault="003F68F0" w:rsidP="00D37928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C67760">
              <w:rPr>
                <w:rFonts w:ascii="GHEA Grapalat" w:hAnsi="GHEA Grapalat"/>
              </w:rPr>
              <w:t>Կալիբրացիոն</w:t>
            </w:r>
            <w:proofErr w:type="spellEnd"/>
            <w:r w:rsidRPr="00C67760">
              <w:rPr>
                <w:rFonts w:ascii="GHEA Grapalat" w:hAnsi="GHEA Grapalat"/>
              </w:rPr>
              <w:t xml:space="preserve"> </w:t>
            </w:r>
            <w:proofErr w:type="spellStart"/>
            <w:r w:rsidRPr="00C67760">
              <w:rPr>
                <w:rFonts w:ascii="GHEA Grapalat" w:hAnsi="GHEA Grapalat"/>
              </w:rPr>
              <w:t>բուֆեր</w:t>
            </w:r>
            <w:proofErr w:type="spellEnd"/>
            <w:r w:rsidRPr="00C6776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3F68F0" w:rsidRPr="003F68F0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3F68F0" w:rsidRPr="00545D68" w:rsidRDefault="003F68F0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F68F0" w:rsidRPr="00C67760" w:rsidRDefault="003F68F0" w:rsidP="00D37928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C67760">
              <w:rPr>
                <w:rFonts w:ascii="GHEA Grapalat" w:hAnsi="GHEA Grapalat"/>
              </w:rPr>
              <w:t>Կալիբրացիոն</w:t>
            </w:r>
            <w:proofErr w:type="spellEnd"/>
            <w:r w:rsidRPr="00C67760">
              <w:rPr>
                <w:rFonts w:ascii="GHEA Grapalat" w:hAnsi="GHEA Grapalat"/>
              </w:rPr>
              <w:t xml:space="preserve"> </w:t>
            </w:r>
            <w:proofErr w:type="spellStart"/>
            <w:r w:rsidRPr="00C67760">
              <w:rPr>
                <w:rFonts w:ascii="GHEA Grapalat" w:hAnsi="GHEA Grapalat"/>
              </w:rPr>
              <w:t>բուֆեր</w:t>
            </w:r>
            <w:proofErr w:type="spellEnd"/>
            <w:r w:rsidRPr="00C6776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F68F0" w:rsidRPr="00EB38E6" w:rsidRDefault="003F68F0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68F0" w:rsidRPr="00EB38E6" w:rsidRDefault="003F68F0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3F68F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ԵՋԷԿ-ԳՀԱՊՁԲ-19/153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Տիրան Լաճիկյան-ին:</w:t>
      </w:r>
    </w:p>
    <w:p w:rsidR="00C33706" w:rsidRPr="00EB38E6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EB38E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EB38E6">
        <w:rPr>
          <w:rFonts w:ascii="GHEA Grapalat" w:hAnsi="GHEA Grapalat"/>
          <w:lang w:val="af-ZA"/>
        </w:rPr>
        <w:t xml:space="preserve">Հեռախոս </w:t>
      </w:r>
      <w:r w:rsidRPr="00EB38E6">
        <w:rPr>
          <w:rFonts w:ascii="GHEA Grapalat" w:hAnsi="GHEA Grapalat"/>
          <w:b/>
          <w:lang w:val="af-ZA"/>
        </w:rPr>
        <w:t>01</w:t>
      </w:r>
      <w:r w:rsidRPr="00EB38E6">
        <w:rPr>
          <w:rFonts w:ascii="GHEA Grapalat" w:hAnsi="GHEA Grapalat"/>
          <w:b/>
          <w:lang w:val="hy-AM"/>
        </w:rPr>
        <w:t>0</w:t>
      </w:r>
      <w:r w:rsidRPr="00EB38E6">
        <w:rPr>
          <w:rFonts w:ascii="GHEA Grapalat" w:hAnsi="GHEA Grapalat"/>
          <w:b/>
          <w:lang w:val="af-ZA"/>
        </w:rPr>
        <w:t xml:space="preserve"> </w:t>
      </w:r>
      <w:r w:rsidRPr="00EB38E6">
        <w:rPr>
          <w:rFonts w:ascii="GHEA Grapalat" w:hAnsi="GHEA Grapalat"/>
          <w:b/>
          <w:lang w:val="hy-AM"/>
        </w:rPr>
        <w:t>262-269</w:t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EB38E6">
        <w:rPr>
          <w:rFonts w:ascii="GHEA Grapalat" w:hAnsi="GHEA Grapalat"/>
          <w:lang w:val="af-ZA"/>
        </w:rPr>
        <w:t xml:space="preserve">Էլ. Փոստ </w:t>
      </w:r>
      <w:hyperlink r:id="rId5" w:history="1">
        <w:r w:rsidRPr="00EB38E6">
          <w:rPr>
            <w:rStyle w:val="Hyperlink"/>
            <w:rFonts w:ascii="GHEA Grapalat" w:hAnsi="GHEA Grapalat"/>
            <w:b/>
            <w:color w:val="auto"/>
            <w:lang w:val="af-ZA"/>
          </w:rPr>
          <w:t>lach.gnumner@gmail.com</w:t>
        </w:r>
      </w:hyperlink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B38E6">
        <w:rPr>
          <w:rFonts w:ascii="GHEA Grapalat" w:hAnsi="GHEA Grapalat"/>
          <w:lang w:val="af-ZA"/>
        </w:rPr>
        <w:t>Պատվիրատու</w:t>
      </w:r>
      <w:r w:rsidRPr="00EB38E6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sectPr w:rsidR="00C33706" w:rsidRPr="00EB38E6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9182C"/>
    <w:rsid w:val="001E28EC"/>
    <w:rsid w:val="002B087C"/>
    <w:rsid w:val="003F68F0"/>
    <w:rsid w:val="00515354"/>
    <w:rsid w:val="00545D68"/>
    <w:rsid w:val="00926303"/>
    <w:rsid w:val="00C3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ch.gnum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1269</Characters>
  <Application>Microsoft Office Word</Application>
  <DocSecurity>0</DocSecurity>
  <Lines>10</Lines>
  <Paragraphs>2</Paragraphs>
  <ScaleCrop>false</ScaleCrop>
  <Company>diakov.net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dcterms:created xsi:type="dcterms:W3CDTF">2019-06-26T15:59:00Z</dcterms:created>
  <dcterms:modified xsi:type="dcterms:W3CDTF">2019-10-30T04:32:00Z</dcterms:modified>
</cp:coreProperties>
</file>