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2FA1A0CF" w:rsidR="00CE5FA8" w:rsidRPr="001C6C3C" w:rsidRDefault="00374A00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374A00">
        <w:rPr>
          <w:rFonts w:ascii="GHEA Grapalat" w:hAnsi="GHEA Grapalat"/>
          <w:b/>
          <w:i w:val="0"/>
          <w:sz w:val="22"/>
          <w:szCs w:val="22"/>
          <w:lang w:val="ru-RU"/>
        </w:rPr>
        <w:t>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Pr="00374A00">
        <w:rPr>
          <w:rFonts w:ascii="GHEA Grapalat" w:hAnsi="GHEA Grapalat"/>
          <w:b/>
          <w:i w:val="0"/>
          <w:sz w:val="22"/>
          <w:szCs w:val="22"/>
          <w:lang w:val="ru-RU"/>
        </w:rPr>
        <w:t>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632C4ECE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374A00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ՀՀ-ԲԾ-Ա-ԲՄԾՁԲ-25/137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3423AD1A" w:rsidR="00CE5FA8" w:rsidRPr="00374A00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="00374A00" w:rsidRPr="00374A00">
        <w:rPr>
          <w:rFonts w:ascii="GHEA Grapalat" w:eastAsia="Calibri" w:hAnsi="GHEA Grapalat"/>
          <w:lang w:val="ru-RU"/>
        </w:rPr>
        <w:t>Консультационные услуги по стратегическому планированию адаптации к изменению климата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  <w:r w:rsidRPr="00374A00">
        <w:rPr>
          <w:rFonts w:ascii="GHEA Grapalat" w:hAnsi="GHEA Grapalat"/>
          <w:i w:val="0"/>
          <w:lang w:val="ru-RU"/>
        </w:rPr>
        <w:t>в рамках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374A00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709BAAF8" w:rsidR="001417E5" w:rsidRPr="00134003" w:rsidRDefault="003728C9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Консультационные услуги по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стратеги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ческому планированию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адаптации к изменению климата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4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090AD5" w:rsidRPr="001533AF" w14:paraId="75DE10EB" w14:textId="77777777" w:rsidTr="00090AD5">
        <w:tc>
          <w:tcPr>
            <w:tcW w:w="10461" w:type="dxa"/>
          </w:tcPr>
          <w:p w14:paraId="3532B888" w14:textId="77777777" w:rsidR="00090AD5" w:rsidRPr="001533AF" w:rsidRDefault="00090AD5" w:rsidP="00990A92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090AD5" w:rsidRPr="00090AD5" w14:paraId="698AB98D" w14:textId="77777777" w:rsidTr="00090AD5">
        <w:tc>
          <w:tcPr>
            <w:tcW w:w="10461" w:type="dxa"/>
          </w:tcPr>
          <w:p w14:paraId="633C0D91" w14:textId="77777777" w:rsidR="00090AD5" w:rsidRDefault="00090AD5" w:rsidP="00990A92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Целью предоставления консультационных услуг является разработка 3 стратегических документов, определенных программой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поддедржки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подготовленности «Адресация неотложных потребностей в подготовленности Армении к осуществлению мер по борьбе с изменением климата на 2-м этапе пополнения ЗКФ-а», для реализации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двух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подрезультатов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программы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3.2.1, 3.3.1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), в том числе:</w:t>
            </w:r>
          </w:p>
          <w:p w14:paraId="11E159CE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Подрезультат</w:t>
            </w:r>
            <w:proofErr w:type="spellEnd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3.2.1</w:t>
            </w:r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Создание системы мониторинга, оценки и обучения (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</w:rPr>
              <w:t>MOO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) в контексте адаптации для стратегического планирования и инвестиций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0D3EFD6B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46A86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Конечный результат: </w:t>
            </w:r>
            <w:r w:rsidRPr="00050520">
              <w:rPr>
                <w:rFonts w:ascii="GHEA Grapalat" w:hAnsi="GHEA Grapalat" w:cs="Calibri"/>
                <w:sz w:val="20"/>
                <w:szCs w:val="20"/>
                <w:lang w:val="ru-RU"/>
              </w:rPr>
              <w:t>Устоявшаяся и проверенная система для мониторинга, оценки и обучения в контексте адаптации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448CB395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  <w:r w:rsidRPr="00DB2545">
              <w:rPr>
                <w:rFonts w:ascii="GHEA Grapalat" w:hAnsi="GHEA Grapalat" w:cs="Calibri" w:hint="eastAsia"/>
                <w:sz w:val="20"/>
                <w:szCs w:val="20"/>
                <w:lang w:val="hy-AM"/>
              </w:rPr>
              <w:t xml:space="preserve"> </w:t>
            </w:r>
          </w:p>
          <w:p w14:paraId="64D2406E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системы МОО Национального плана адаптации (</w:t>
            </w:r>
            <w:r w:rsidRPr="00E51E36">
              <w:rPr>
                <w:rFonts w:ascii="GHEA Grapalat" w:hAnsi="GHEA Grapalat" w:cs="Calibri"/>
                <w:sz w:val="20"/>
                <w:szCs w:val="20"/>
              </w:rPr>
              <w:t>H</w:t>
            </w: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П</w:t>
            </w:r>
            <w:r w:rsidRPr="00E51E36">
              <w:rPr>
                <w:rFonts w:ascii="GHEA Grapalat" w:hAnsi="GHEA Grapalat" w:cs="Calibri"/>
                <w:sz w:val="20"/>
                <w:szCs w:val="20"/>
              </w:rPr>
              <w:t>A</w:t>
            </w: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), согласование с заинтересованными сторонами, при необходимости постоянная доработка до утверждения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70FEABFA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B2C6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аналитического отчета о внедрении </w:t>
            </w:r>
            <w:r w:rsidRPr="000B2C6D">
              <w:rPr>
                <w:rFonts w:ascii="GHEA Grapalat" w:hAnsi="GHEA Grapalat" w:cs="Calibri"/>
                <w:sz w:val="20"/>
                <w:szCs w:val="20"/>
              </w:rPr>
              <w:t>H</w:t>
            </w:r>
            <w:r w:rsidRPr="000B2C6D">
              <w:rPr>
                <w:rFonts w:ascii="GHEA Grapalat" w:hAnsi="GHEA Grapalat" w:cs="Calibri"/>
                <w:sz w:val="20"/>
                <w:szCs w:val="20"/>
                <w:lang w:val="ru-RU"/>
              </w:rPr>
              <w:t>ПА1 с соблюдением утвержденной структуры МОО, включая находки, выводы и рекомендации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751884DC" w14:textId="77777777" w:rsidR="00090AD5" w:rsidRPr="008D51E9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8D7B80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Подрезультат 3.3.1: </w:t>
            </w:r>
            <w:r w:rsidRPr="008D51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стратегии стимулирования частных инвестиций в адаптационные решения</w:t>
            </w:r>
          </w:p>
          <w:p w14:paraId="48ADF39E" w14:textId="77777777" w:rsidR="00090AD5" w:rsidRPr="00B17245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3602E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Конечный результат: </w:t>
            </w:r>
            <w:r w:rsidRPr="00B17245">
              <w:rPr>
                <w:rFonts w:ascii="GHEA Grapalat" w:hAnsi="GHEA Grapalat" w:cs="Calibri"/>
                <w:sz w:val="20"/>
                <w:szCs w:val="20"/>
                <w:lang w:val="ru-RU"/>
              </w:rPr>
              <w:t>Инвестиционная программа адаптации (ИПА), утвержденная национальным уполномоченным органом</w:t>
            </w:r>
          </w:p>
          <w:p w14:paraId="5467CC70" w14:textId="77777777" w:rsidR="00090AD5" w:rsidRPr="00F37777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16045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Действие 1: </w:t>
            </w:r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Всесторонний анализ потенциала природных решений или </w:t>
            </w:r>
            <w:proofErr w:type="spellStart"/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подходов в контексте климатически устойчивого развития с акцентом на передовой международный опыт и потенциал адаптации в Армении для разработки ИПА</w:t>
            </w:r>
          </w:p>
          <w:p w14:paraId="2D1ACEF0" w14:textId="77777777" w:rsidR="00090AD5" w:rsidRPr="006432E9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</w:p>
          <w:p w14:paraId="78819664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lastRenderedPageBreak/>
              <w:t xml:space="preserve">Проведение консультаций с заинтересованными сторонами для определения природных решений или </w:t>
            </w:r>
            <w:proofErr w:type="spellStart"/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подходов к изменению климата в области устойчивого развития.</w:t>
            </w:r>
          </w:p>
          <w:p w14:paraId="1E7365ED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3699B">
              <w:rPr>
                <w:rFonts w:ascii="GHEA Grapalat" w:hAnsi="GHEA Grapalat" w:cs="Calibri"/>
                <w:sz w:val="20"/>
                <w:szCs w:val="20"/>
                <w:lang w:val="ru-RU"/>
              </w:rPr>
              <w:t>Изучение передового международного опыта, включая находки, выводы и рекомендации в контексте локализации решений, соответствующих местному контексту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4C1A08A4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D2206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аналитического отчета для интеграции в ИПА, согласование с заинтересованными сторонами, при необходимости непрерывная доработка до утверждения.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</w:p>
          <w:p w14:paraId="1DCA69BA" w14:textId="77777777" w:rsidR="00090AD5" w:rsidRPr="00A30F91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A30F91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Действие 2: </w:t>
            </w:r>
            <w:r w:rsidRPr="0037265C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ИПА, включая соответствующий программный портфель</w:t>
            </w:r>
            <w:r w:rsidRPr="00A30F91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7946B87E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</w:p>
          <w:p w14:paraId="2920B542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BA040E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и согласование методологии формирования длинных и коротких списков программных идей для привлечения частного сектора, в том числе для включения в портфель ИПА.</w:t>
            </w:r>
          </w:p>
          <w:p w14:paraId="66D665A3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9133E">
              <w:rPr>
                <w:rFonts w:ascii="GHEA Grapalat" w:hAnsi="GHEA Grapalat" w:cs="Calibri"/>
                <w:sz w:val="20"/>
                <w:szCs w:val="20"/>
                <w:lang w:val="ru-RU"/>
              </w:rPr>
              <w:t>Внедрение процесса консультирования, ориентированного на участие частного сектора, целью которого является разработка ИПА и определение длинного списка программных идей, подлежащих включению в портфель ИПА.</w:t>
            </w:r>
          </w:p>
          <w:p w14:paraId="4A06150D" w14:textId="77777777" w:rsidR="00090AD5" w:rsidRPr="00A30F91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Составление краткого списка программных идей по согласованной методологии и индивидуальная работа с каждым представителем частного сектора (не менее 5) с целью документирования выбранных программных идей (на уровнях 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pre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>-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concept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concept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>, в зависимости от типа, объема и т. д. программной идеи).</w:t>
            </w:r>
          </w:p>
          <w:p w14:paraId="666270B5" w14:textId="77777777" w:rsidR="00090AD5" w:rsidRPr="00A30F91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CA0A18">
              <w:rPr>
                <w:rFonts w:ascii="GHEA Grapalat" w:hAnsi="GHEA Grapalat" w:cs="Calibri"/>
                <w:sz w:val="20"/>
                <w:szCs w:val="20"/>
                <w:lang w:val="ru-RU"/>
              </w:rPr>
              <w:t>Организация и проведение мероприятия по сбору средств для поддержки приоритетных инвестиционных программ, включенных в короткий список утвержденного ИПА (не менее 50% участников-женщины).</w:t>
            </w:r>
          </w:p>
        </w:tc>
      </w:tr>
    </w:tbl>
    <w:p w14:paraId="5ED0C0BF" w14:textId="77777777" w:rsidR="00464242" w:rsidRPr="00090AD5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090AD5" w:rsidRPr="00CF07D3" w14:paraId="28E6F4BC" w14:textId="77777777" w:rsidTr="00990A92">
        <w:tc>
          <w:tcPr>
            <w:tcW w:w="5056" w:type="dxa"/>
          </w:tcPr>
          <w:p w14:paraId="1EBC92F7" w14:textId="77777777" w:rsidR="00090AD5" w:rsidRPr="001533AF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435EDA3B" w14:textId="77777777" w:rsidR="00090AD5" w:rsidRPr="001533AF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090AD5" w:rsidRPr="00090AD5" w14:paraId="1F655B37" w14:textId="77777777" w:rsidTr="00990A92">
        <w:tc>
          <w:tcPr>
            <w:tcW w:w="5056" w:type="dxa"/>
          </w:tcPr>
          <w:p w14:paraId="3F4787F8" w14:textId="77777777" w:rsidR="00090AD5" w:rsidRPr="00CA0A18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CA0A1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Опыт разработки стратегических документов в контексте адаптации к изменению климата.</w:t>
            </w:r>
          </w:p>
        </w:tc>
        <w:tc>
          <w:tcPr>
            <w:tcW w:w="4832" w:type="dxa"/>
          </w:tcPr>
          <w:p w14:paraId="36380D5C" w14:textId="77777777" w:rsidR="00090AD5" w:rsidRPr="00036D9A" w:rsidRDefault="00090AD5" w:rsidP="00990A9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36D9A">
              <w:rPr>
                <w:rFonts w:ascii="GHEA Grapalat" w:hAnsi="GHEA Grapalat"/>
                <w:sz w:val="20"/>
                <w:szCs w:val="20"/>
                <w:lang w:val="hy-AM"/>
              </w:rPr>
              <w:t xml:space="preserve">Участник должен </w:t>
            </w:r>
            <w:r w:rsidRPr="00036D9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предоставить минимум один</w:t>
            </w:r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>один</w:t>
            </w:r>
            <w:proofErr w:type="spellEnd"/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договор</w:t>
            </w:r>
            <w:r w:rsidRPr="00036D9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, надлежащим образом реализованный в течение года подачи заявки и предшествующих ему 5 лет,</w:t>
            </w:r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 оказание услуг по разработке стратегических документов в контексте адаптации к изменению климата  на сумму, эквивалентную не менее 50 000 долларов США. </w:t>
            </w:r>
          </w:p>
        </w:tc>
      </w:tr>
      <w:tr w:rsidR="00090AD5" w:rsidRPr="00090AD5" w14:paraId="2448FE12" w14:textId="77777777" w:rsidTr="00990A92">
        <w:tc>
          <w:tcPr>
            <w:tcW w:w="5056" w:type="dxa"/>
          </w:tcPr>
          <w:p w14:paraId="0E6909D3" w14:textId="77777777" w:rsidR="00090AD5" w:rsidRPr="005229F1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5229F1">
              <w:rPr>
                <w:rFonts w:ascii="GHEA Grapalat" w:hAnsi="GHEA Grapalat"/>
                <w:sz w:val="20"/>
                <w:szCs w:val="20"/>
                <w:lang w:val="ru-RU"/>
              </w:rPr>
              <w:t>Опыт разработки инструментов в контексте систем мониторинга, оценки и обучения.</w:t>
            </w:r>
          </w:p>
        </w:tc>
        <w:tc>
          <w:tcPr>
            <w:tcW w:w="4832" w:type="dxa"/>
          </w:tcPr>
          <w:p w14:paraId="6EAAAA02" w14:textId="77777777" w:rsidR="00090AD5" w:rsidRPr="006133EA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Участник должен 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один договор, надлежащим образом реализованный в течение года подачи заявки и предшествующих ему 5 лет, на оказание услуг, связанных с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разработк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ой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инструментов в контексте систем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lastRenderedPageBreak/>
              <w:t>мониторинга, оценки и обучения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, на сумму, эквивалентную не менее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20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000 долларов США.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2A2D6227" w14:textId="77777777" w:rsidR="00C42B4C" w:rsidRPr="00C42B4C" w:rsidRDefault="00C42B4C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en-US"/>
        </w:rPr>
      </w:pPr>
      <w:r>
        <w:rPr>
          <w:rFonts w:ascii="GHEA Grapalat" w:hAnsi="GHEA Grapalat"/>
          <w:noProof/>
          <w:sz w:val="20"/>
          <w:szCs w:val="20"/>
          <w:lang w:val="en-US"/>
        </w:rPr>
        <w:t xml:space="preserve">                 </w:t>
      </w:r>
    </w:p>
    <w:tbl>
      <w:tblPr>
        <w:tblW w:w="102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3060"/>
        <w:gridCol w:w="2610"/>
        <w:gridCol w:w="2070"/>
      </w:tblGrid>
      <w:tr w:rsidR="00C42B4C" w:rsidRPr="001533AF" w14:paraId="3E6F5AE4" w14:textId="77777777" w:rsidTr="00C42B4C">
        <w:tc>
          <w:tcPr>
            <w:tcW w:w="8175" w:type="dxa"/>
            <w:gridSpan w:val="3"/>
          </w:tcPr>
          <w:p w14:paraId="2A1B3DFF" w14:textId="77777777" w:rsidR="00C42B4C" w:rsidRPr="00F9741B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70" w:type="dxa"/>
          </w:tcPr>
          <w:p w14:paraId="72263294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C42B4C" w:rsidRPr="001533AF" w14:paraId="467065B0" w14:textId="77777777" w:rsidTr="00C42B4C">
        <w:tc>
          <w:tcPr>
            <w:tcW w:w="2505" w:type="dxa"/>
          </w:tcPr>
          <w:p w14:paraId="50FEB1DF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55FA9812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14:paraId="09A8BF23" w14:textId="77777777" w:rsidR="00C42B4C" w:rsidRPr="007A4B91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070" w:type="dxa"/>
          </w:tcPr>
          <w:p w14:paraId="29B957F7" w14:textId="77777777" w:rsidR="00C42B4C" w:rsidRPr="00F9741B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C42B4C" w:rsidRPr="009E5022" w14:paraId="42324795" w14:textId="77777777" w:rsidTr="00C42B4C">
        <w:trPr>
          <w:trHeight w:val="706"/>
        </w:trPr>
        <w:tc>
          <w:tcPr>
            <w:tcW w:w="2505" w:type="dxa"/>
            <w:vMerge w:val="restart"/>
          </w:tcPr>
          <w:p w14:paraId="60F9EB4D" w14:textId="77777777" w:rsidR="00C42B4C" w:rsidRPr="003110B0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Международный консультант по технологиям адаптации к изменению климата (для реализации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свсех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п</w:t>
            </w:r>
            <w:r w:rsidRPr="00B66D86">
              <w:rPr>
                <w:rFonts w:ascii="GHEA Grapalat" w:hAnsi="GHEA Grapalat"/>
                <w:sz w:val="20"/>
                <w:szCs w:val="20"/>
                <w:lang w:val="ru-RU"/>
              </w:rPr>
              <w:t>одрезультат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ов</w:t>
            </w:r>
            <w:proofErr w:type="spellEnd"/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6EC4C50F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0DC8B35C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7957AE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C98EFBE" w14:textId="77777777" w:rsidR="00C42B4C" w:rsidRPr="00135F0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C42B4C" w:rsidRPr="00C42B4C" w14:paraId="1D2FC1DF" w14:textId="77777777" w:rsidTr="00C42B4C">
        <w:trPr>
          <w:trHeight w:val="440"/>
        </w:trPr>
        <w:tc>
          <w:tcPr>
            <w:tcW w:w="2505" w:type="dxa"/>
            <w:vMerge/>
          </w:tcPr>
          <w:p w14:paraId="1DF0E6D6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DD47310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 (региональный опыт будет рассматриваться как преимущество),</w:t>
            </w:r>
          </w:p>
        </w:tc>
        <w:tc>
          <w:tcPr>
            <w:tcW w:w="2610" w:type="dxa"/>
          </w:tcPr>
          <w:p w14:paraId="1A4F060E" w14:textId="77777777" w:rsidR="00C42B4C" w:rsidRPr="00F66B75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64A8075F" w14:textId="77777777" w:rsidR="00C42B4C" w:rsidRPr="009400F4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балл, региональный опыт +2 балла)</w:t>
            </w:r>
          </w:p>
        </w:tc>
      </w:tr>
      <w:tr w:rsidR="00C42B4C" w:rsidRPr="00C42B4C" w14:paraId="70F5255D" w14:textId="77777777" w:rsidTr="00C42B4C">
        <w:trPr>
          <w:trHeight w:val="1725"/>
        </w:trPr>
        <w:tc>
          <w:tcPr>
            <w:tcW w:w="2505" w:type="dxa"/>
            <w:vMerge/>
          </w:tcPr>
          <w:p w14:paraId="4C2D533D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1DF3317" w14:textId="77777777" w:rsidR="00C42B4C" w:rsidRPr="001A3BD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10" w:type="dxa"/>
          </w:tcPr>
          <w:p w14:paraId="6AB7AA5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230F5D53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242576">
              <w:rPr>
                <w:rFonts w:ascii="GHEA Grapalat" w:hAnsi="GHEA Grapalat" w:cs="Arial Armenian"/>
                <w:sz w:val="20"/>
                <w:lang w:val="ru-RU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F7BF1BA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5 баллов (знание армянского языка будет оценено +2 балла)</w:t>
            </w:r>
          </w:p>
        </w:tc>
      </w:tr>
      <w:tr w:rsidR="00C42B4C" w:rsidRPr="009E5022" w14:paraId="3D6DEBA0" w14:textId="77777777" w:rsidTr="00C42B4C">
        <w:trPr>
          <w:trHeight w:val="2092"/>
        </w:trPr>
        <w:tc>
          <w:tcPr>
            <w:tcW w:w="2505" w:type="dxa"/>
            <w:vMerge w:val="restart"/>
          </w:tcPr>
          <w:p w14:paraId="07A754DA" w14:textId="77777777" w:rsidR="00C42B4C" w:rsidRPr="009B3D9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мониторингу и оценке (для реализации </w:t>
            </w:r>
            <w:proofErr w:type="spellStart"/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 xml:space="preserve"> 3.2.1)</w:t>
            </w:r>
          </w:p>
        </w:tc>
        <w:tc>
          <w:tcPr>
            <w:tcW w:w="3060" w:type="dxa"/>
          </w:tcPr>
          <w:p w14:paraId="396EF09C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развитие/отношения,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70115A19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4BA719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FA44EBF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2304733E" w14:textId="77777777" w:rsidTr="00C42B4C">
        <w:trPr>
          <w:trHeight w:val="1630"/>
        </w:trPr>
        <w:tc>
          <w:tcPr>
            <w:tcW w:w="2505" w:type="dxa"/>
            <w:vMerge/>
          </w:tcPr>
          <w:p w14:paraId="3CF524BA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8ED7FA" w14:textId="77777777" w:rsidR="00C42B4C" w:rsidRPr="002C2FA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3A00549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9B9ABE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22711324" w14:textId="77777777" w:rsidTr="00C42B4C">
        <w:trPr>
          <w:trHeight w:val="1168"/>
        </w:trPr>
        <w:tc>
          <w:tcPr>
            <w:tcW w:w="2505" w:type="dxa"/>
            <w:vMerge/>
          </w:tcPr>
          <w:p w14:paraId="7CC5DF72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E1A1505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59A53D5A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332F8C0C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21C86D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5B6DE82E" w14:textId="77777777" w:rsidR="00C42B4C" w:rsidRPr="00166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671135D5" w14:textId="77777777" w:rsidTr="00C42B4C">
        <w:trPr>
          <w:trHeight w:val="440"/>
        </w:trPr>
        <w:tc>
          <w:tcPr>
            <w:tcW w:w="2505" w:type="dxa"/>
            <w:vMerge w:val="restart"/>
          </w:tcPr>
          <w:p w14:paraId="66F80B2A" w14:textId="77777777" w:rsidR="00C42B4C" w:rsidRPr="00BE747A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планированию инвестиций в адаптацию к изменению климата </w:t>
            </w:r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(для реализации </w:t>
            </w:r>
            <w:proofErr w:type="spellStart"/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54D14836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развитие/отношения, науки об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окружающей среде или смежные области,</w:t>
            </w:r>
          </w:p>
        </w:tc>
        <w:tc>
          <w:tcPr>
            <w:tcW w:w="2610" w:type="dxa"/>
          </w:tcPr>
          <w:p w14:paraId="7BCC266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1EAB8C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04C079E7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756A8A2F" w14:textId="77777777" w:rsidTr="00C42B4C">
        <w:trPr>
          <w:trHeight w:val="1222"/>
        </w:trPr>
        <w:tc>
          <w:tcPr>
            <w:tcW w:w="2505" w:type="dxa"/>
            <w:vMerge/>
          </w:tcPr>
          <w:p w14:paraId="1A4B1EF2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EEEF956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40E046C3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77077D9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37B42118" w14:textId="77777777" w:rsidTr="00C42B4C">
        <w:trPr>
          <w:trHeight w:val="1155"/>
        </w:trPr>
        <w:tc>
          <w:tcPr>
            <w:tcW w:w="2505" w:type="dxa"/>
            <w:vMerge/>
          </w:tcPr>
          <w:p w14:paraId="1344160D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0EB6A2" w14:textId="77777777" w:rsidR="00C42B4C" w:rsidRPr="00E8065E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D812A62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F43E10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3A1C5A8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6CCAB5F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16A7F47A" w14:textId="77777777" w:rsidTr="00C42B4C">
        <w:trPr>
          <w:trHeight w:val="1223"/>
        </w:trPr>
        <w:tc>
          <w:tcPr>
            <w:tcW w:w="2505" w:type="dxa"/>
            <w:vMerge w:val="restart"/>
          </w:tcPr>
          <w:p w14:paraId="14667781" w14:textId="77777777" w:rsidR="00C42B4C" w:rsidRPr="00605A1E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планированию инвестиций в адаптацию к изменению климата (для реализации </w:t>
            </w:r>
            <w:proofErr w:type="spellStart"/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3A0344EA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2A778F9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7CB56E3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ED1188E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27B6A424" w14:textId="77777777" w:rsidTr="00C42B4C">
        <w:trPr>
          <w:trHeight w:val="2513"/>
        </w:trPr>
        <w:tc>
          <w:tcPr>
            <w:tcW w:w="2505" w:type="dxa"/>
            <w:vMerge/>
          </w:tcPr>
          <w:p w14:paraId="445AAD9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5C20EFC" w14:textId="77777777" w:rsidR="00C42B4C" w:rsidRPr="00224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60C5BBE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1CC75FE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01D22C1B" w14:textId="77777777" w:rsidTr="00C42B4C">
        <w:trPr>
          <w:trHeight w:val="1562"/>
        </w:trPr>
        <w:tc>
          <w:tcPr>
            <w:tcW w:w="2505" w:type="dxa"/>
            <w:vMerge/>
          </w:tcPr>
          <w:p w14:paraId="24C3CBA7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6687F97" w14:textId="77777777" w:rsidR="00C42B4C" w:rsidRPr="00224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71F386FD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68E8E8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5FE72D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D885282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5F09AA07" w14:textId="77777777" w:rsidTr="00C42B4C">
        <w:trPr>
          <w:trHeight w:val="1983"/>
        </w:trPr>
        <w:tc>
          <w:tcPr>
            <w:tcW w:w="2505" w:type="dxa"/>
            <w:vMerge w:val="restart"/>
          </w:tcPr>
          <w:p w14:paraId="76F2CA58" w14:textId="77777777" w:rsidR="00C42B4C" w:rsidRPr="00636CD7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экологическим и социальным гарантиям (для реализации всех </w:t>
            </w:r>
            <w:proofErr w:type="spellStart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подрезультатов</w:t>
            </w:r>
            <w:proofErr w:type="spellEnd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5B497733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социальные науки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, науки об окружающей среде или смежные области,</w:t>
            </w:r>
          </w:p>
        </w:tc>
        <w:tc>
          <w:tcPr>
            <w:tcW w:w="2610" w:type="dxa"/>
          </w:tcPr>
          <w:p w14:paraId="2C6EB93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EC45D1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3E33A9E6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6F08DCF1" w14:textId="77777777" w:rsidTr="00C42B4C">
        <w:trPr>
          <w:trHeight w:val="1304"/>
        </w:trPr>
        <w:tc>
          <w:tcPr>
            <w:tcW w:w="2505" w:type="dxa"/>
            <w:vMerge/>
          </w:tcPr>
          <w:p w14:paraId="10CCC7B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B161338" w14:textId="77777777" w:rsidR="00C42B4C" w:rsidRPr="00B42887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38EC021E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11A0A4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14F39623" w14:textId="77777777" w:rsidTr="00C42B4C">
        <w:trPr>
          <w:trHeight w:val="1209"/>
        </w:trPr>
        <w:tc>
          <w:tcPr>
            <w:tcW w:w="2505" w:type="dxa"/>
            <w:vMerge/>
          </w:tcPr>
          <w:p w14:paraId="42110EA0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6ADA62" w14:textId="77777777" w:rsidR="00C42B4C" w:rsidRPr="00B42887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5548954D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5C94918C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AA09B4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0E70B59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02647710" w14:textId="77777777" w:rsidTr="00C42B4C">
        <w:trPr>
          <w:trHeight w:val="856"/>
        </w:trPr>
        <w:tc>
          <w:tcPr>
            <w:tcW w:w="2505" w:type="dxa"/>
            <w:vMerge w:val="restart"/>
          </w:tcPr>
          <w:p w14:paraId="5FD3713D" w14:textId="77777777" w:rsidR="00C42B4C" w:rsidRPr="00636CD7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гендерным вопросам (для реализации всех </w:t>
            </w:r>
            <w:proofErr w:type="spellStart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по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д</w:t>
            </w: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результатов</w:t>
            </w:r>
            <w:proofErr w:type="spellEnd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4DAC17A9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развитие/отношения,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социальные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5E149AD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784176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018264DF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59B616A9" w14:textId="77777777" w:rsidTr="00C42B4C">
        <w:trPr>
          <w:trHeight w:val="1263"/>
        </w:trPr>
        <w:tc>
          <w:tcPr>
            <w:tcW w:w="2505" w:type="dxa"/>
            <w:vMerge/>
          </w:tcPr>
          <w:p w14:paraId="63384F31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24300DA" w14:textId="77777777" w:rsidR="00C42B4C" w:rsidRPr="0082430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F84619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74A0D91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3DB80BC0" w14:textId="77777777" w:rsidTr="00C42B4C">
        <w:trPr>
          <w:trHeight w:val="1182"/>
        </w:trPr>
        <w:tc>
          <w:tcPr>
            <w:tcW w:w="2505" w:type="dxa"/>
            <w:vMerge/>
          </w:tcPr>
          <w:p w14:paraId="3990253D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9F178D0" w14:textId="77777777" w:rsidR="00C42B4C" w:rsidRPr="0082430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FB4B3BA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25FE38E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33A9712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0667230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D83F4D" w14:paraId="5BC3502D" w14:textId="77777777" w:rsidTr="00C42B4C">
        <w:trPr>
          <w:trHeight w:val="1182"/>
        </w:trPr>
        <w:tc>
          <w:tcPr>
            <w:tcW w:w="2505" w:type="dxa"/>
            <w:vMerge w:val="restart"/>
          </w:tcPr>
          <w:p w14:paraId="58A7ABC6" w14:textId="77777777" w:rsidR="00C42B4C" w:rsidRPr="00566445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консультант по правовым вопросам (для реализации всех результатов)</w:t>
            </w:r>
          </w:p>
        </w:tc>
        <w:tc>
          <w:tcPr>
            <w:tcW w:w="3060" w:type="dxa"/>
          </w:tcPr>
          <w:p w14:paraId="3375C1C4" w14:textId="77777777" w:rsidR="00C42B4C" w:rsidRPr="00722C3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 юридическую специальность,</w:t>
            </w:r>
          </w:p>
          <w:p w14:paraId="47975930" w14:textId="77777777" w:rsidR="00C42B4C" w:rsidRPr="00754943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</w:tcPr>
          <w:p w14:paraId="1445703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6EF99E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70F0AA54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14834389" w14:textId="77777777" w:rsidTr="00C42B4C">
        <w:trPr>
          <w:trHeight w:val="1182"/>
        </w:trPr>
        <w:tc>
          <w:tcPr>
            <w:tcW w:w="2505" w:type="dxa"/>
            <w:vMerge/>
          </w:tcPr>
          <w:p w14:paraId="6EE7AB5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8A4C5AD" w14:textId="77777777" w:rsidR="00C42B4C" w:rsidRPr="000958CA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744069F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662E2D0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21CDA334" w14:textId="77777777" w:rsidTr="00C42B4C">
        <w:trPr>
          <w:trHeight w:val="1182"/>
        </w:trPr>
        <w:tc>
          <w:tcPr>
            <w:tcW w:w="2505" w:type="dxa"/>
            <w:vMerge/>
          </w:tcPr>
          <w:p w14:paraId="0AC2A342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7FDCF33" w14:textId="77777777" w:rsidR="00C42B4C" w:rsidRPr="000958CA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F02C88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78D36CDB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620405E4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F62F13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D83F4D" w14:paraId="6A4A7706" w14:textId="77777777" w:rsidTr="00C42B4C">
        <w:trPr>
          <w:trHeight w:val="1182"/>
        </w:trPr>
        <w:tc>
          <w:tcPr>
            <w:tcW w:w="2505" w:type="dxa"/>
            <w:vMerge w:val="restart"/>
          </w:tcPr>
          <w:p w14:paraId="68FAC6E6" w14:textId="77777777" w:rsidR="00C42B4C" w:rsidRPr="008C5CD5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стратегическому планированию (для реализации </w:t>
            </w:r>
            <w:proofErr w:type="spellStart"/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77AD4A8E" w14:textId="77777777" w:rsidR="00C42B4C" w:rsidRPr="00722C3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F73A2">
              <w:rPr>
                <w:rFonts w:ascii="GHEA Grapalat" w:hAnsi="GHEA Grapalat"/>
                <w:sz w:val="20"/>
                <w:szCs w:val="20"/>
                <w:lang w:val="hy-AM"/>
              </w:rPr>
              <w:t>1. Степень бакалавра/магистра или эквивалентная квалификация, включая, помимо прочего, экономику, международное развитие/отношения, социальные науки, науки об окружающей среде или смежные области,</w:t>
            </w:r>
          </w:p>
        </w:tc>
        <w:tc>
          <w:tcPr>
            <w:tcW w:w="2610" w:type="dxa"/>
          </w:tcPr>
          <w:p w14:paraId="4E12241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8FF85F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DC2EEA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C42B4C" w14:paraId="6E0FC81E" w14:textId="77777777" w:rsidTr="00C42B4C">
        <w:trPr>
          <w:trHeight w:val="1182"/>
        </w:trPr>
        <w:tc>
          <w:tcPr>
            <w:tcW w:w="2505" w:type="dxa"/>
            <w:vMerge/>
          </w:tcPr>
          <w:p w14:paraId="45C512D9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470D75D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6802DE0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10CAB2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C42B4C" w14:paraId="4D398455" w14:textId="77777777" w:rsidTr="00C42B4C">
        <w:trPr>
          <w:trHeight w:val="1182"/>
        </w:trPr>
        <w:tc>
          <w:tcPr>
            <w:tcW w:w="2505" w:type="dxa"/>
            <w:vMerge/>
          </w:tcPr>
          <w:p w14:paraId="6E7D20E1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1634CDA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9881D70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5DE2E27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579D473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7C0DF0B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</w:tbl>
    <w:p w14:paraId="4404CAE9" w14:textId="17581BC0" w:rsidR="00CE3796" w:rsidRPr="00C42B4C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lastRenderedPageBreak/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374A00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374A00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6C049074" w14:textId="77777777" w:rsidR="00056EA8" w:rsidRDefault="00056EA8" w:rsidP="00056EA8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66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>
        <w:rPr>
          <w:rFonts w:ascii="GHEA Grapalat" w:hAnsi="GHEA Grapalat"/>
          <w:noProof/>
          <w:lang w:val="ru-RU"/>
        </w:rPr>
        <w:t>71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lastRenderedPageBreak/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6F1C05F6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12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E16FA0">
        <w:rPr>
          <w:rFonts w:ascii="GHEA Grapalat" w:hAnsi="GHEA Grapalat"/>
          <w:b/>
          <w:sz w:val="22"/>
          <w:szCs w:val="22"/>
          <w:lang w:val="ru-RU"/>
        </w:rPr>
        <w:t>2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DE5EE3" w:rsidRPr="00DE5EE3">
        <w:rPr>
          <w:rFonts w:ascii="GHEA Grapalat" w:hAnsi="GHEA Grapalat"/>
          <w:b/>
          <w:sz w:val="22"/>
          <w:szCs w:val="22"/>
          <w:lang w:val="ru-RU"/>
        </w:rPr>
        <w:t>5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lastRenderedPageBreak/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3C1372F8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12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3E09C9" w:rsidRPr="003E09C9">
        <w:rPr>
          <w:rFonts w:ascii="GHEA Grapalat" w:hAnsi="GHEA Grapalat"/>
          <w:b/>
          <w:sz w:val="22"/>
          <w:szCs w:val="22"/>
          <w:lang w:val="ru-RU"/>
        </w:rPr>
        <w:t>1</w:t>
      </w:r>
      <w:r w:rsidR="00E16FA0">
        <w:rPr>
          <w:rFonts w:ascii="GHEA Grapalat" w:hAnsi="GHEA Grapalat"/>
          <w:b/>
          <w:sz w:val="22"/>
          <w:szCs w:val="22"/>
          <w:lang w:val="ru-RU"/>
        </w:rPr>
        <w:t>2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0A61D0" w:rsidRPr="000A61D0">
        <w:rPr>
          <w:rFonts w:ascii="GHEA Grapalat" w:hAnsi="GHEA Grapalat"/>
          <w:b/>
          <w:sz w:val="22"/>
          <w:szCs w:val="22"/>
          <w:lang w:val="ru-RU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</w:t>
      </w:r>
      <w:bookmarkStart w:id="0" w:name="_GoBack"/>
      <w:bookmarkEnd w:id="0"/>
      <w:r w:rsidRPr="001C6C3C">
        <w:rPr>
          <w:rFonts w:ascii="GHEA Grapalat" w:hAnsi="GHEA Grapalat"/>
          <w:sz w:val="22"/>
          <w:szCs w:val="22"/>
          <w:lang w:val="ru-RU"/>
        </w:rPr>
        <w:t xml:space="preserve">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данной процедуре. При наличии предусмотренного настоящим пунктом </w:t>
      </w:r>
      <w:r w:rsidRPr="001C6C3C">
        <w:rPr>
          <w:rFonts w:ascii="GHEA Grapalat" w:hAnsi="GHEA Grapalat"/>
          <w:szCs w:val="22"/>
          <w:lang w:val="ru-RU"/>
        </w:rPr>
        <w:lastRenderedPageBreak/>
        <w:t>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612AC12B" w:rsidR="00CE5FA8" w:rsidRPr="00855D0A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ՀՀ-ԲԾ-Ա-ԲՄԾՁԲ-25/137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29BB783F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ՀՀ-ԲԾ-Ա-ԲՄԾՁԲ-25/137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71E1EF73" w:rsidR="002F4A5D" w:rsidRPr="00855D0A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ՀՀ-ԲԾ-Ա-ԲՄԾՁԲ-25/137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374A00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7B294088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374A00">
        <w:rPr>
          <w:rFonts w:ascii="GHEA Grapalat" w:hAnsi="GHEA Grapalat"/>
          <w:sz w:val="22"/>
          <w:szCs w:val="22"/>
          <w:lang w:val="hy-AM"/>
        </w:rPr>
        <w:t>ՀՀ-ԲԾ-Ա-ԲՄԾՁԲ-25/137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21626" w14:textId="77777777" w:rsidR="004A5AF6" w:rsidRDefault="004A5AF6">
      <w:r>
        <w:separator/>
      </w:r>
    </w:p>
  </w:endnote>
  <w:endnote w:type="continuationSeparator" w:id="0">
    <w:p w14:paraId="734BA996" w14:textId="77777777" w:rsidR="004A5AF6" w:rsidRDefault="004A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5CB9">
      <w:rPr>
        <w:noProof/>
      </w:rPr>
      <w:t>13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8CDBF" w14:textId="77777777" w:rsidR="004A5AF6" w:rsidRDefault="004A5AF6">
      <w:r>
        <w:separator/>
      </w:r>
    </w:p>
  </w:footnote>
  <w:footnote w:type="continuationSeparator" w:id="0">
    <w:p w14:paraId="1F88E2EA" w14:textId="77777777" w:rsidR="004A5AF6" w:rsidRDefault="004A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08DF-D6C1-4464-8842-4B1EB27B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3799</Words>
  <Characters>21655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47</cp:revision>
  <cp:lastPrinted>2017-12-22T05:37:00Z</cp:lastPrinted>
  <dcterms:created xsi:type="dcterms:W3CDTF">2023-10-23T12:11:00Z</dcterms:created>
  <dcterms:modified xsi:type="dcterms:W3CDTF">2025-12-02T11:08:00Z</dcterms:modified>
</cp:coreProperties>
</file>