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364B0D12" w:rsidR="0022631D" w:rsidRPr="0040724A" w:rsidRDefault="0040724A" w:rsidP="0040724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0724A">
        <w:rPr>
          <w:rFonts w:ascii="GHEA Grapalat" w:hAnsi="GHEA Grapalat"/>
          <w:sz w:val="20"/>
          <w:lang w:val="hy-AM"/>
        </w:rPr>
        <w:t>ՀՀ ԱՐՄԱՎԻՐԻ ՄԱՐԶԻ ԱՐԱՔՍ ՀԱՄԱՅՆՔԻ «ԼՈՒՍԱԳՅՈՒՂԻ ՄԱՆԿԱՊԱՐՏԵԶ»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0724A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Արմավիրի մարզ, գյուղ Լուսագյուղ</w:t>
      </w:r>
      <w:r w:rsidRPr="004072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0724A">
        <w:rPr>
          <w:rFonts w:ascii="GHEA Grapalat" w:eastAsia="Times New Roman" w:hAnsi="GHEA Grapalat" w:cs="Sylfaen"/>
          <w:sz w:val="20"/>
          <w:szCs w:val="20"/>
          <w:lang w:val="hy-AM" w:eastAsia="ru-RU"/>
        </w:rPr>
        <w:t>Ն.Դարբինյան փ. 6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0724A">
        <w:rPr>
          <w:rFonts w:ascii="GHEA Grapalat" w:hAnsi="GHEA Grapalat"/>
          <w:bCs/>
          <w:sz w:val="20"/>
          <w:szCs w:val="20"/>
          <w:lang w:val="hy-AM"/>
        </w:rPr>
        <w:t>ՀՀ-ԱՄ-ԱՀ-ԼՄ-ԳՀԱՊՁԲ-25/1</w:t>
      </w:r>
      <w:r w:rsidRPr="0040724A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F93B62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31F0A3B6" w:rsidR="00622FD2" w:rsidRPr="0095284E" w:rsidRDefault="00AB0DE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280000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017A1284" w:rsidR="00622FD2" w:rsidRPr="0095284E" w:rsidRDefault="00AB0DE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F93B62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0724A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0724A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 Պապոյան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7334BD0E" w:rsidR="004D2474" w:rsidRPr="00AB0DE7" w:rsidRDefault="00AB0DE7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173250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08E25848" w:rsidR="004D2474" w:rsidRPr="00CA4FB8" w:rsidRDefault="00AB0DE7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B0D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173250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4C6E2AF0" w:rsidR="003C40FC" w:rsidRPr="00990DAC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ՀՀ-ԱՄ-ԱՀ-ԼՄ-ԳՀԱՊՁԲ-25/1-1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7FEFA9EB" w:rsidR="003C40FC" w:rsidRPr="006F57F0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173250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0BC78C35" w:rsidR="003C40FC" w:rsidRPr="006F57F0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660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173250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F93B62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F93B62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F93B62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F93B62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F93B62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F93B62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E75FF"/>
    <w:rsid w:val="009F1D2B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72E3"/>
    <w:rsid w:val="00B14903"/>
    <w:rsid w:val="00B72BFA"/>
    <w:rsid w:val="00B75762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93B62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34</cp:revision>
  <cp:lastPrinted>2021-04-06T07:47:00Z</cp:lastPrinted>
  <dcterms:created xsi:type="dcterms:W3CDTF">2022-07-07T13:02:00Z</dcterms:created>
  <dcterms:modified xsi:type="dcterms:W3CDTF">2025-05-16T12:45:00Z</dcterms:modified>
</cp:coreProperties>
</file>