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5" w:rsidRDefault="006F53B5" w:rsidP="00F14A3F">
      <w:pPr>
        <w:pStyle w:val="a3"/>
        <w:ind w:firstLine="0"/>
        <w:jc w:val="center"/>
        <w:rPr>
          <w:rFonts w:ascii="GHEA Grapalat" w:hAnsi="GHEA Grapalat" w:cs="Sylfaen"/>
          <w:b/>
          <w:sz w:val="21"/>
          <w:szCs w:val="21"/>
          <w:lang w:val="af-ZA"/>
        </w:rPr>
      </w:pPr>
    </w:p>
    <w:p w:rsidR="00F14A3F" w:rsidRPr="00EC1FFB" w:rsidRDefault="00F14A3F" w:rsidP="00F14A3F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F14A3F" w:rsidRPr="00EC1FFB" w:rsidRDefault="00F14A3F" w:rsidP="00F14A3F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F14A3F" w:rsidRPr="00A26766" w:rsidRDefault="00F14A3F" w:rsidP="00F14A3F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/>
          <w:sz w:val="21"/>
          <w:szCs w:val="21"/>
          <w:lang w:val="af-ZA"/>
        </w:rPr>
        <w:t>1</w:t>
      </w:r>
      <w:r w:rsidR="00814364">
        <w:rPr>
          <w:rFonts w:ascii="GHEA Grapalat" w:hAnsi="GHEA Grapalat"/>
          <w:sz w:val="21"/>
          <w:szCs w:val="21"/>
          <w:lang w:val="af-ZA"/>
        </w:rPr>
        <w:t>5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>
        <w:rPr>
          <w:rFonts w:ascii="GHEA Grapalat" w:hAnsi="GHEA Grapalat"/>
          <w:sz w:val="21"/>
          <w:szCs w:val="21"/>
          <w:lang w:val="ru-RU"/>
        </w:rPr>
        <w:t>ԷԱՃ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Pr="001A2B5D">
        <w:rPr>
          <w:rFonts w:ascii="GHEA Grapalat" w:hAnsi="GHEA Grapalat"/>
          <w:sz w:val="21"/>
          <w:szCs w:val="21"/>
          <w:lang w:val="af-ZA"/>
        </w:rPr>
        <w:t>5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F14A3F" w:rsidRPr="00EC1FFB" w:rsidRDefault="00F14A3F" w:rsidP="00F14A3F">
      <w:pPr>
        <w:rPr>
          <w:sz w:val="21"/>
          <w:szCs w:val="21"/>
          <w:lang w:val="af-ZA"/>
        </w:rPr>
      </w:pPr>
    </w:p>
    <w:p w:rsidR="00F14A3F" w:rsidRPr="00EC1FFB" w:rsidRDefault="00F14A3F" w:rsidP="00F14A3F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Pr="001137FA">
        <w:rPr>
          <w:rFonts w:ascii="GHEA Grapalat" w:hAnsi="GHEA Grapalat" w:cs="Sylfaen"/>
          <w:b/>
        </w:rPr>
        <w:t>կշռաստուգաչափման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շարժական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լաբորատորիայի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նմուժային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կշռաքարերի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հավաքածու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ձեռքբերում</w:t>
      </w:r>
      <w:proofErr w:type="spellEnd"/>
      <w:r w:rsidRPr="001A2B5D">
        <w:rPr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Pr="001137FA">
        <w:rPr>
          <w:rFonts w:ascii="GHEA Grapalat" w:hAnsi="GHEA Grapalat"/>
          <w:b/>
          <w:sz w:val="21"/>
          <w:szCs w:val="21"/>
        </w:rPr>
        <w:t>ՍՉԱՄ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Pr="001137FA">
        <w:rPr>
          <w:rFonts w:ascii="GHEA Grapalat" w:hAnsi="GHEA Grapalat"/>
          <w:b/>
          <w:sz w:val="21"/>
          <w:szCs w:val="21"/>
        </w:rPr>
        <w:t>ԷԱՃԱՊՁԲ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 w:cs="Sylfaen"/>
          <w:b/>
          <w:sz w:val="21"/>
          <w:szCs w:val="21"/>
          <w:lang w:val="af-ZA"/>
        </w:rPr>
        <w:t>1</w:t>
      </w:r>
      <w:r w:rsidR="00814364">
        <w:rPr>
          <w:rFonts w:ascii="GHEA Grapalat" w:hAnsi="GHEA Grapalat" w:cs="Sylfaen"/>
          <w:b/>
          <w:sz w:val="21"/>
          <w:szCs w:val="21"/>
          <w:lang w:val="af-ZA"/>
        </w:rPr>
        <w:t>5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 w:cs="Sylfaen"/>
          <w:b/>
          <w:sz w:val="21"/>
          <w:szCs w:val="21"/>
          <w:lang w:val="af-ZA"/>
        </w:rPr>
        <w:t>1</w:t>
      </w:r>
      <w:r w:rsidR="00814364">
        <w:rPr>
          <w:rFonts w:ascii="GHEA Grapalat" w:hAnsi="GHEA Grapalat" w:cs="Sylfaen"/>
          <w:b/>
          <w:sz w:val="21"/>
          <w:szCs w:val="21"/>
          <w:lang w:val="af-ZA"/>
        </w:rPr>
        <w:t>6</w:t>
      </w:r>
      <w:r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F14A3F" w:rsidRDefault="00F14A3F" w:rsidP="00F14A3F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6F53B5" w:rsidRPr="00EC1FFB" w:rsidRDefault="006F53B5" w:rsidP="00F14A3F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F14A3F" w:rsidRPr="00814364" w:rsidRDefault="00F14A3F" w:rsidP="00814364">
      <w:pPr>
        <w:shd w:val="clear" w:color="auto" w:fill="FFFFFF"/>
        <w:spacing w:after="0" w:line="240" w:lineRule="auto"/>
        <w:rPr>
          <w:rFonts w:ascii="GHEA Grapalat" w:hAnsi="GHEA Grapalat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814364">
        <w:rPr>
          <w:rFonts w:ascii="GHEA Grapalat" w:hAnsi="GHEA Grapalat" w:cs="Sylfaen"/>
          <w:sz w:val="21"/>
          <w:szCs w:val="21"/>
          <w:lang w:val="af-ZA"/>
        </w:rPr>
        <w:t xml:space="preserve">   </w:t>
      </w:r>
      <w:proofErr w:type="spellStart"/>
      <w:r w:rsidR="00814364" w:rsidRPr="00814364">
        <w:rPr>
          <w:rFonts w:ascii="GHEA Grapalat" w:hAnsi="GHEA Grapalat" w:cs="Sylfaen"/>
        </w:rPr>
        <w:t>Հարգելի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գործընկեր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, </w:t>
      </w:r>
      <w:proofErr w:type="spellStart"/>
      <w:r w:rsidR="00814364" w:rsidRPr="00814364">
        <w:rPr>
          <w:rFonts w:ascii="GHEA Grapalat" w:hAnsi="GHEA Grapalat" w:cs="Sylfaen"/>
        </w:rPr>
        <w:t>խնդրում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եմ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տրամադրել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մանրամասն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ինֆորմացվիա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մետաղական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արկղերի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վերաբերյալ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, </w:t>
      </w:r>
      <w:proofErr w:type="spellStart"/>
      <w:r w:rsidR="00814364" w:rsidRPr="00814364">
        <w:rPr>
          <w:rFonts w:ascii="GHEA Grapalat" w:hAnsi="GHEA Grapalat" w:cs="Sylfaen"/>
        </w:rPr>
        <w:t>ինչպես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նաև</w:t>
      </w:r>
      <w:proofErr w:type="spellEnd"/>
      <w:r w:rsidR="00814364" w:rsidRPr="00814364">
        <w:rPr>
          <w:rFonts w:ascii="GHEA Grapalat" w:hAnsi="GHEA Grapalat"/>
          <w:lang w:val="af-ZA"/>
        </w:rPr>
        <w:t xml:space="preserve"> </w:t>
      </w:r>
      <w:proofErr w:type="spellStart"/>
      <w:r w:rsidR="00814364" w:rsidRPr="00814364">
        <w:rPr>
          <w:rFonts w:ascii="GHEA Grapalat" w:hAnsi="GHEA Grapalat" w:cs="Sylfaen"/>
        </w:rPr>
        <w:t>գծագիրը</w:t>
      </w:r>
      <w:proofErr w:type="spellEnd"/>
      <w:r w:rsidR="00814364" w:rsidRPr="00814364">
        <w:rPr>
          <w:rFonts w:ascii="GHEA Grapalat" w:hAnsi="GHEA Grapalat"/>
          <w:lang w:val="af-ZA"/>
        </w:rPr>
        <w:t>:</w:t>
      </w:r>
    </w:p>
    <w:p w:rsidR="00814364" w:rsidRDefault="00814364" w:rsidP="00814364">
      <w:pPr>
        <w:shd w:val="clear" w:color="auto" w:fill="FFFFFF"/>
        <w:spacing w:after="0" w:line="240" w:lineRule="auto"/>
        <w:rPr>
          <w:lang w:val="af-ZA"/>
        </w:rPr>
      </w:pPr>
    </w:p>
    <w:p w:rsidR="00814364" w:rsidRPr="00814364" w:rsidRDefault="00814364" w:rsidP="00814364">
      <w:pPr>
        <w:shd w:val="clear" w:color="auto" w:fill="FFFFFF"/>
        <w:spacing w:after="0" w:line="240" w:lineRule="auto"/>
        <w:rPr>
          <w:rFonts w:ascii="GHEA Grapalat" w:hAnsi="GHEA Grapalat" w:cs="Sylfaen"/>
          <w:sz w:val="16"/>
          <w:szCs w:val="21"/>
          <w:lang w:val="af-ZA"/>
        </w:rPr>
      </w:pPr>
    </w:p>
    <w:p w:rsidR="00F14A3F" w:rsidRPr="00535378" w:rsidRDefault="00F14A3F" w:rsidP="00F14A3F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814364" w:rsidRPr="00D72930" w:rsidRDefault="00F14A3F" w:rsidP="00814364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814364" w:rsidRPr="00814364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Հարգելի գործընկեր Ձեր կողմից բարձրացված հացերի հետ կապված հայտնում ենք հետևյալը՝ 20 կգ նոմինալ զանգվածով կշռաքարերի համար նախատեսված տուփի  երկրաչափական չափերը դուրս են բերվում ելնելով կշռաքարի երկրաչափական չափերից և եթե փոփոխվում է կշռաքարի երկրաչափական չափերը ապա փոփոխության են ենթարկվում նաև դրանց համար նախատեսված տուփի երկրաչափական չափերը ։</w:t>
      </w:r>
      <w:r w:rsidR="00814364"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Այդ իսկ պատճառով տուփի համար գծագիր չի արվել։ «Ստանդարտացման և չափագիտության մարմին» ՓԲ ընկերությունը հայտնում է իր պատրաստակամությունը քննարկել տուփի գծագրի մանրամասները դրա առկայության դեպքում։</w:t>
      </w:r>
    </w:p>
    <w:p w:rsidR="00814364" w:rsidRPr="00D72930" w:rsidRDefault="00814364" w:rsidP="00814364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Կշռաքարերը տուփի մեջ պետք է դասավորված լինեն հնգական իրար ուղղահայաց ողղությամբ ( 5*5) ստորև ներկայացված աղյուսակի համապատասխան։  Կշռաքարերի բռնակները պետք է  լինեն վերնամասում, հարմարավետ օգտագործման համար։</w:t>
      </w:r>
    </w:p>
    <w:p w:rsidR="00814364" w:rsidRPr="00D72930" w:rsidRDefault="00814364" w:rsidP="00814364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598"/>
        <w:gridCol w:w="536"/>
        <w:gridCol w:w="567"/>
        <w:gridCol w:w="567"/>
        <w:gridCol w:w="567"/>
      </w:tblGrid>
      <w:tr w:rsidR="00814364" w:rsidRPr="00D72930" w:rsidTr="0030488A">
        <w:tc>
          <w:tcPr>
            <w:tcW w:w="598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36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814364" w:rsidRPr="00D72930" w:rsidTr="0030488A">
        <w:tc>
          <w:tcPr>
            <w:tcW w:w="598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36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814364" w:rsidRPr="00D72930" w:rsidTr="0030488A">
        <w:tc>
          <w:tcPr>
            <w:tcW w:w="598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36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814364" w:rsidRPr="00D72930" w:rsidTr="0030488A">
        <w:tc>
          <w:tcPr>
            <w:tcW w:w="598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36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814364" w:rsidRPr="00D72930" w:rsidTr="0030488A">
        <w:tc>
          <w:tcPr>
            <w:tcW w:w="598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36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:rsidR="00814364" w:rsidRPr="00D72930" w:rsidRDefault="00814364" w:rsidP="0030488A">
            <w:pPr>
              <w:jc w:val="both"/>
              <w:rPr>
                <w:rFonts w:ascii="GHEA Grapalat" w:hAnsi="GHEA Grapalat" w:cs="Times New Roman"/>
                <w:color w:val="1A1A1A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:rsidR="00814364" w:rsidRPr="00D72930" w:rsidRDefault="00814364" w:rsidP="00814364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</w:p>
    <w:p w:rsidR="00814364" w:rsidRPr="00D72930" w:rsidRDefault="00814364" w:rsidP="00814364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lastRenderedPageBreak/>
        <w:t>20 կգ նոմինալ զանգվածով կշռաքարերի համար նախատեսված մետաղական տուփը տրամադրում է կշռաքարերի մատակարարը։ Տուփը տեղակայվելու է բեռնատարի բեռնախցիկում և ամրացվելու է բեռնախցիկի հատակին։</w:t>
      </w:r>
    </w:p>
    <w:p w:rsidR="00814364" w:rsidRPr="00D72930" w:rsidRDefault="00814364" w:rsidP="00814364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20 կգ զանգվածով կշռաքարերի համար նախատեսված մետաղական տուփը պետք է պատրաստված լինի չժանգոտվող մետաղից(ալյումին, չժանգոտվող պողպատ) կամ այլ մետաղից համապատասխանաբար պատված լինելով հակակորոզիոն ծածկույթով։ </w:t>
      </w:r>
      <w:proofErr w:type="spellStart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Մետաղյա</w:t>
      </w:r>
      <w:proofErr w:type="spellEnd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թիթեղի</w:t>
      </w:r>
      <w:proofErr w:type="spellEnd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հաստոթյունը</w:t>
      </w:r>
      <w:proofErr w:type="spellEnd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կապված</w:t>
      </w:r>
      <w:proofErr w:type="spellEnd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է </w:t>
      </w:r>
      <w:proofErr w:type="spellStart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մետաղի</w:t>
      </w:r>
      <w:proofErr w:type="spellEnd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տեսակի </w:t>
      </w:r>
      <w:proofErr w:type="spellStart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ըտրությունից</w:t>
      </w:r>
      <w:proofErr w:type="spellEnd"/>
      <w:r w:rsidRPr="00D72930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։</w:t>
      </w:r>
    </w:p>
    <w:p w:rsidR="00F14A3F" w:rsidRPr="00CE74B4" w:rsidRDefault="00F14A3F" w:rsidP="00814364">
      <w:pPr>
        <w:rPr>
          <w:rFonts w:ascii="GHEA Grapalat" w:hAnsi="GHEA Grapalat" w:cs="Sylfaen"/>
          <w:sz w:val="14"/>
          <w:szCs w:val="21"/>
          <w:lang w:val="af-ZA"/>
        </w:rPr>
      </w:pPr>
      <w:bookmarkStart w:id="0" w:name="_GoBack"/>
      <w:bookmarkEnd w:id="0"/>
    </w:p>
    <w:p w:rsidR="00F14A3F" w:rsidRPr="00EC1FFB" w:rsidRDefault="00F14A3F" w:rsidP="00F14A3F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Pr="00814364">
        <w:rPr>
          <w:rFonts w:ascii="GHEA Grapalat" w:hAnsi="GHEA Grapalat"/>
          <w:b/>
          <w:sz w:val="21"/>
          <w:szCs w:val="21"/>
          <w:lang w:val="hy-AM"/>
        </w:rPr>
        <w:t>ՍՉԱՄ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Pr="00814364">
        <w:rPr>
          <w:rFonts w:ascii="GHEA Grapalat" w:hAnsi="GHEA Grapalat"/>
          <w:b/>
          <w:sz w:val="21"/>
          <w:szCs w:val="21"/>
          <w:lang w:val="hy-AM"/>
        </w:rPr>
        <w:t>ԷԱՃԱՊՁԲ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r w:rsidRPr="00814364">
        <w:rPr>
          <w:rFonts w:ascii="GHEA Grapalat" w:hAnsi="GHEA Grapalat" w:cs="Sylfaen"/>
          <w:b/>
          <w:sz w:val="21"/>
          <w:szCs w:val="21"/>
          <w:lang w:val="hy-AM"/>
        </w:rPr>
        <w:t>Աննա</w:t>
      </w:r>
      <w:r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814364">
        <w:rPr>
          <w:rFonts w:ascii="GHEA Grapalat" w:hAnsi="GHEA Grapalat" w:cs="Sylfaen"/>
          <w:b/>
          <w:sz w:val="21"/>
          <w:szCs w:val="21"/>
          <w:lang w:val="hy-AM"/>
        </w:rPr>
        <w:t>Ներսիսյանին</w:t>
      </w:r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F14A3F" w:rsidRPr="00EC1FFB" w:rsidRDefault="00F14A3F" w:rsidP="00F14A3F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F14A3F" w:rsidRPr="00CE74B4" w:rsidRDefault="00F14A3F" w:rsidP="00F14A3F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F14A3F" w:rsidRPr="00EC1FFB" w:rsidRDefault="00F14A3F" w:rsidP="00F14A3F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F14A3F" w:rsidRPr="001A2B5D" w:rsidRDefault="00F14A3F" w:rsidP="00F14A3F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F14A3F" w:rsidRPr="001A2B5D" w:rsidRDefault="00F14A3F" w:rsidP="00F14A3F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F14A3F" w:rsidRPr="001A2B5D" w:rsidSect="006F53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63CA4"/>
    <w:rsid w:val="005178D2"/>
    <w:rsid w:val="006F53B5"/>
    <w:rsid w:val="00715853"/>
    <w:rsid w:val="007B577B"/>
    <w:rsid w:val="007B643E"/>
    <w:rsid w:val="00807564"/>
    <w:rsid w:val="00814364"/>
    <w:rsid w:val="009704E9"/>
    <w:rsid w:val="00A70968"/>
    <w:rsid w:val="00C20A35"/>
    <w:rsid w:val="00CB0E4A"/>
    <w:rsid w:val="00CB3791"/>
    <w:rsid w:val="00DF385B"/>
    <w:rsid w:val="00F14A3F"/>
    <w:rsid w:val="00F16130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39"/>
    <w:rsid w:val="0081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39"/>
    <w:rsid w:val="0081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13</cp:revision>
  <dcterms:created xsi:type="dcterms:W3CDTF">2024-08-06T17:09:00Z</dcterms:created>
  <dcterms:modified xsi:type="dcterms:W3CDTF">2024-08-16T13:08:00Z</dcterms:modified>
</cp:coreProperties>
</file>