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33A" w:rsidRDefault="00B5033A" w:rsidP="00B5033A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B5033A" w:rsidRPr="00335F28" w:rsidRDefault="00B5033A" w:rsidP="00B5033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5033A" w:rsidRPr="00335F28" w:rsidRDefault="00B5033A" w:rsidP="00B5033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B5033A" w:rsidRPr="006A63EC" w:rsidRDefault="00B5033A" w:rsidP="00B5033A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A60448">
        <w:rPr>
          <w:rFonts w:ascii="GHEA Grapalat" w:hAnsi="GHEA Grapalat" w:cs="Sylfaen"/>
          <w:sz w:val="20"/>
          <w:lang w:val="hy-AM"/>
        </w:rPr>
        <w:t>ՀՀ-ՏՄԴՀ–ԳՀԽԾՁԲ-2</w:t>
      </w:r>
      <w:r>
        <w:rPr>
          <w:rFonts w:ascii="GHEA Grapalat" w:hAnsi="GHEA Grapalat" w:cs="Sylfaen"/>
          <w:sz w:val="20"/>
          <w:lang w:val="hy-AM"/>
        </w:rPr>
        <w:t>6</w:t>
      </w:r>
      <w:r w:rsidRPr="00A60448">
        <w:rPr>
          <w:rFonts w:ascii="GHEA Grapalat" w:hAnsi="GHEA Grapalat" w:cs="Sylfaen"/>
          <w:sz w:val="20"/>
          <w:lang w:val="hy-AM"/>
        </w:rPr>
        <w:t xml:space="preserve">/14   </w:t>
      </w:r>
    </w:p>
    <w:p w:rsidR="00B5033A" w:rsidRPr="006A63EC" w:rsidRDefault="00B5033A" w:rsidP="00B5033A">
      <w:pPr>
        <w:rPr>
          <w:lang w:val="af-ZA"/>
        </w:rPr>
      </w:pPr>
    </w:p>
    <w:p w:rsidR="00B5033A" w:rsidRDefault="00B5033A" w:rsidP="00B5033A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976AE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>
        <w:rPr>
          <w:rFonts w:ascii="GHEA Grapalat" w:hAnsi="GHEA Grapalat" w:cs="Sylfaen"/>
          <w:sz w:val="20"/>
          <w:lang w:val="hy-AM"/>
        </w:rPr>
        <w:t>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B5033A">
        <w:rPr>
          <w:rFonts w:ascii="GHEA Grapalat" w:hAnsi="GHEA Grapalat" w:cs="Sylfaen"/>
          <w:sz w:val="20"/>
          <w:lang w:val="hy-AM"/>
        </w:rPr>
        <w:t>Դիլիջան համայնքի Դիլիջան քաղաքի Գետափնյա փողոց թիվ 68, Բարեկամության փողոց թիվ 3, Կալինինի փողոց թիվ 87 հասցեների բազմաբնակարան բնակելի շենքերի տանիքների  հիմնանորոգման  աշխատանքների տեխնիկական հսկողության ծառայություններ</w:t>
      </w:r>
      <w:r>
        <w:rPr>
          <w:rFonts w:ascii="GHEA Grapalat" w:hAnsi="GHEA Grapalat" w:cs="Sylfaen"/>
          <w:sz w:val="20"/>
          <w:lang w:val="hy-AM"/>
        </w:rPr>
        <w:t xml:space="preserve">ի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 </w:t>
      </w:r>
      <w:r w:rsidRPr="00A60448">
        <w:rPr>
          <w:rFonts w:ascii="GHEA Grapalat" w:hAnsi="GHEA Grapalat" w:cs="Sylfaen"/>
          <w:b/>
          <w:sz w:val="20"/>
          <w:lang w:val="hy-AM"/>
        </w:rPr>
        <w:t>ՀՀ-ՏՄԴՀ–ԳՀԽԾՁԲ-2</w:t>
      </w:r>
      <w:r>
        <w:rPr>
          <w:rFonts w:ascii="GHEA Grapalat" w:hAnsi="GHEA Grapalat" w:cs="Sylfaen"/>
          <w:b/>
          <w:sz w:val="20"/>
          <w:lang w:val="hy-AM"/>
        </w:rPr>
        <w:t>6</w:t>
      </w:r>
      <w:bookmarkStart w:id="0" w:name="_GoBack"/>
      <w:bookmarkEnd w:id="0"/>
      <w:r w:rsidRPr="00A60448">
        <w:rPr>
          <w:rFonts w:ascii="GHEA Grapalat" w:hAnsi="GHEA Grapalat" w:cs="Sylfaen"/>
          <w:b/>
          <w:sz w:val="20"/>
          <w:lang w:val="hy-AM"/>
        </w:rPr>
        <w:t xml:space="preserve">/14   </w:t>
      </w:r>
      <w:r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:rsidR="00B5033A" w:rsidRPr="00E71470" w:rsidRDefault="00B5033A" w:rsidP="00B5033A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601"/>
        <w:gridCol w:w="1985"/>
        <w:gridCol w:w="2402"/>
        <w:gridCol w:w="2134"/>
      </w:tblGrid>
      <w:tr w:rsidR="00B5033A" w:rsidRPr="00B5033A" w:rsidTr="00B5033A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5033A" w:rsidRPr="00B5033A" w:rsidRDefault="00B5033A" w:rsidP="00653274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503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B5033A" w:rsidRPr="00B5033A" w:rsidRDefault="00B5033A" w:rsidP="006532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03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B5033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03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B5033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03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033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03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033A" w:rsidRPr="00B5033A" w:rsidRDefault="00B5033A" w:rsidP="006532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03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B5033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03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B5033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03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5033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03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B5033A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B503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B5033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03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B5033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03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B5033A" w:rsidRPr="00B5033A" w:rsidRDefault="00B5033A" w:rsidP="006532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03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B5033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03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B5033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03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B5033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03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B5033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03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B5033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03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B5033A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B503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B5033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03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5033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B503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B5033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03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B5033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B503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B5033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03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B5033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B503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B5033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03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5033A" w:rsidRPr="00B5033A" w:rsidRDefault="00B5033A" w:rsidP="006532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033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033A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B5033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033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B5033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033A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B5033A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B5033A" w:rsidRPr="00B5033A" w:rsidRDefault="00B5033A" w:rsidP="006532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03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B5033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03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B5033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03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B5033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03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B5033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03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B5033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03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B5033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03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033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033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B5033A" w:rsidRPr="00B5033A" w:rsidTr="00B5033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5033A" w:rsidRPr="00B5033A" w:rsidRDefault="00B5033A" w:rsidP="006532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033A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B5033A" w:rsidRPr="00B5033A" w:rsidRDefault="00B5033A" w:rsidP="0065327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033A">
              <w:rPr>
                <w:rFonts w:ascii="GHEA Grapalat" w:hAnsi="GHEA Grapalat"/>
                <w:sz w:val="18"/>
                <w:szCs w:val="18"/>
                <w:lang w:val="hy-AM"/>
              </w:rPr>
              <w:t>Դիլիջան համայնքի Դիլիջան քաղաքի Գետափնյա փողոց թիվ 68 հասցեի բազմաբնակարան բնակելի շենքի տանիքի  հիմնանորոգման  աշխատանքների տեխնիկական հսկողության ծառայություններ</w:t>
            </w:r>
          </w:p>
        </w:tc>
        <w:tc>
          <w:tcPr>
            <w:tcW w:w="1985" w:type="dxa"/>
            <w:shd w:val="clear" w:color="auto" w:fill="auto"/>
          </w:tcPr>
          <w:p w:rsidR="00B5033A" w:rsidRPr="00B5033A" w:rsidRDefault="00B5033A" w:rsidP="00653274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hy-AM" w:eastAsia="en-US"/>
              </w:rPr>
            </w:pPr>
          </w:p>
          <w:p w:rsidR="00B5033A" w:rsidRPr="00B5033A" w:rsidRDefault="00B5033A" w:rsidP="00653274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hy-AM" w:eastAsia="en-US"/>
              </w:rPr>
            </w:pPr>
          </w:p>
          <w:p w:rsidR="00B5033A" w:rsidRPr="00B5033A" w:rsidRDefault="00B5033A" w:rsidP="00653274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hy-AM" w:eastAsia="en-US"/>
              </w:rPr>
            </w:pPr>
          </w:p>
        </w:tc>
        <w:tc>
          <w:tcPr>
            <w:tcW w:w="2402" w:type="dxa"/>
            <w:shd w:val="clear" w:color="auto" w:fill="auto"/>
            <w:vAlign w:val="center"/>
          </w:tcPr>
          <w:p w:rsidR="00B5033A" w:rsidRPr="00B5033A" w:rsidRDefault="00B5033A" w:rsidP="006532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033A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B5033A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B5033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033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B5033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B5033A" w:rsidRPr="00B5033A" w:rsidRDefault="00B5033A" w:rsidP="006532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033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B5033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B5033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033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B5033A" w:rsidRPr="00B5033A" w:rsidRDefault="00B5033A" w:rsidP="00653274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B5033A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B5033A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B5033A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B5033A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B5033A" w:rsidRPr="00B5033A" w:rsidRDefault="00B5033A" w:rsidP="006532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033A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B5033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B5033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033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B5033A" w:rsidRPr="00B5033A" w:rsidRDefault="00B5033A" w:rsidP="0065327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033A">
              <w:rPr>
                <w:rFonts w:ascii="GHEA Grapalat" w:hAnsi="GHEA Grapalat" w:cs="Sylfaen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B5033A" w:rsidRPr="00B5033A" w:rsidTr="00B5033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5033A" w:rsidRPr="00B5033A" w:rsidRDefault="00B5033A" w:rsidP="00B5033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5033A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B5033A" w:rsidRPr="00B5033A" w:rsidRDefault="00B5033A" w:rsidP="00B5033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033A">
              <w:rPr>
                <w:rFonts w:ascii="GHEA Grapalat" w:hAnsi="GHEA Grapalat"/>
                <w:sz w:val="18"/>
                <w:szCs w:val="18"/>
                <w:lang w:val="ru-RU"/>
              </w:rPr>
              <w:t>Դիլիջան համայնքի Դիլիջան քաղաքի Բարեկամության փողոց թիվ 3 հասցեի բազմաբնակարան բնակելի շենքի տանիքի  հիմնանորոգման  աշխատանքների տեխնիկական հսկողության ծառայություններ</w:t>
            </w:r>
          </w:p>
        </w:tc>
        <w:tc>
          <w:tcPr>
            <w:tcW w:w="1985" w:type="dxa"/>
            <w:shd w:val="clear" w:color="auto" w:fill="auto"/>
          </w:tcPr>
          <w:p w:rsidR="00B5033A" w:rsidRPr="00B5033A" w:rsidRDefault="00B5033A" w:rsidP="00B5033A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hy-AM" w:eastAsia="en-US"/>
              </w:rPr>
            </w:pPr>
          </w:p>
        </w:tc>
        <w:tc>
          <w:tcPr>
            <w:tcW w:w="2402" w:type="dxa"/>
            <w:shd w:val="clear" w:color="auto" w:fill="auto"/>
            <w:vAlign w:val="center"/>
          </w:tcPr>
          <w:p w:rsidR="00B5033A" w:rsidRPr="00B5033A" w:rsidRDefault="00B5033A" w:rsidP="00B5033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033A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B5033A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B5033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033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B5033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B5033A" w:rsidRPr="00B5033A" w:rsidRDefault="00B5033A" w:rsidP="00B5033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033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B5033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B5033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033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B5033A" w:rsidRPr="00B5033A" w:rsidRDefault="00B5033A" w:rsidP="00B5033A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B5033A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B5033A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B5033A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B5033A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B5033A" w:rsidRPr="00B5033A" w:rsidRDefault="00B5033A" w:rsidP="00B5033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033A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B5033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B5033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033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B5033A" w:rsidRPr="00B5033A" w:rsidRDefault="00B5033A" w:rsidP="00B5033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033A">
              <w:rPr>
                <w:rFonts w:ascii="GHEA Grapalat" w:hAnsi="GHEA Grapalat" w:cs="Sylfaen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B5033A" w:rsidRPr="00B5033A" w:rsidTr="00B5033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5033A" w:rsidRPr="00B5033A" w:rsidRDefault="00B5033A" w:rsidP="00B5033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5033A"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B5033A" w:rsidRPr="00B5033A" w:rsidRDefault="00B5033A" w:rsidP="00B5033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033A">
              <w:rPr>
                <w:rFonts w:ascii="GHEA Grapalat" w:hAnsi="GHEA Grapalat"/>
                <w:sz w:val="18"/>
                <w:szCs w:val="18"/>
                <w:lang w:val="hy-AM"/>
              </w:rPr>
              <w:t>Դիլիջան համայնքի Դիլիջան քաղաքի Կալինինի փողոց թիվ 87 հասցեի բազմաբնակարան բնակելի շենքի տանիքի  հիմնանորոգման  աշխատանքների տեխնիկական հսկողության ծառայություններ</w:t>
            </w:r>
          </w:p>
        </w:tc>
        <w:tc>
          <w:tcPr>
            <w:tcW w:w="1985" w:type="dxa"/>
            <w:shd w:val="clear" w:color="auto" w:fill="auto"/>
          </w:tcPr>
          <w:p w:rsidR="00B5033A" w:rsidRPr="00B5033A" w:rsidRDefault="00B5033A" w:rsidP="00B5033A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hy-AM" w:eastAsia="en-US"/>
              </w:rPr>
            </w:pPr>
          </w:p>
        </w:tc>
        <w:tc>
          <w:tcPr>
            <w:tcW w:w="2402" w:type="dxa"/>
            <w:shd w:val="clear" w:color="auto" w:fill="auto"/>
            <w:vAlign w:val="center"/>
          </w:tcPr>
          <w:p w:rsidR="00B5033A" w:rsidRPr="00B5033A" w:rsidRDefault="00B5033A" w:rsidP="00B5033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033A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B5033A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B5033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033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B5033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B5033A" w:rsidRPr="00B5033A" w:rsidRDefault="00B5033A" w:rsidP="00B5033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033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B5033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B5033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033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B5033A" w:rsidRPr="00B5033A" w:rsidRDefault="00B5033A" w:rsidP="00B5033A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B5033A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B5033A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B5033A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B5033A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B5033A" w:rsidRPr="00B5033A" w:rsidRDefault="00B5033A" w:rsidP="00B5033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033A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B5033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B5033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033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B5033A" w:rsidRPr="00B5033A" w:rsidRDefault="00B5033A" w:rsidP="00B5033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033A">
              <w:rPr>
                <w:rFonts w:ascii="GHEA Grapalat" w:hAnsi="GHEA Grapalat" w:cs="Sylfaen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B5033A" w:rsidRDefault="00B5033A" w:rsidP="00B503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5033A" w:rsidRDefault="00B5033A" w:rsidP="00B503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B5033A" w:rsidRDefault="00B5033A" w:rsidP="00B5033A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B5033A" w:rsidRPr="00A7446E" w:rsidRDefault="00B5033A" w:rsidP="00B5033A">
      <w:pPr>
        <w:jc w:val="both"/>
        <w:rPr>
          <w:rFonts w:ascii="GHEA Grapalat" w:hAnsi="GHEA Grapalat" w:cs="Sylfaen"/>
          <w:sz w:val="20"/>
          <w:lang w:val="af-ZA"/>
        </w:rPr>
      </w:pPr>
      <w:r w:rsidRPr="00A60448">
        <w:rPr>
          <w:rFonts w:ascii="GHEA Grapalat" w:hAnsi="GHEA Grapalat" w:cs="Sylfaen"/>
          <w:b/>
          <w:sz w:val="20"/>
          <w:lang w:val="hy-AM"/>
        </w:rPr>
        <w:t>ՀՀ-ՏՄԴՀ–ԳՀԽԾՁԲ-2</w:t>
      </w:r>
      <w:r>
        <w:rPr>
          <w:rFonts w:ascii="GHEA Grapalat" w:hAnsi="GHEA Grapalat" w:cs="Sylfaen"/>
          <w:b/>
          <w:sz w:val="20"/>
          <w:lang w:val="hy-AM"/>
        </w:rPr>
        <w:t>6</w:t>
      </w:r>
      <w:r w:rsidRPr="00A60448">
        <w:rPr>
          <w:rFonts w:ascii="GHEA Grapalat" w:hAnsi="GHEA Grapalat" w:cs="Sylfaen"/>
          <w:b/>
          <w:sz w:val="20"/>
          <w:lang w:val="hy-AM"/>
        </w:rPr>
        <w:t xml:space="preserve">/14   </w:t>
      </w:r>
      <w:r>
        <w:rPr>
          <w:rFonts w:ascii="GHEA Grapalat" w:hAnsi="GHEA Grapalat" w:cs="Sylfaen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գնումների համակարգող </w:t>
      </w:r>
      <w:r>
        <w:rPr>
          <w:rFonts w:ascii="GHEA Grapalat" w:hAnsi="GHEA Grapalat" w:cs="Sylfaen"/>
          <w:sz w:val="20"/>
          <w:lang w:val="hy-AM"/>
        </w:rPr>
        <w:t>Արմինե Աղաջանյան</w:t>
      </w:r>
      <w:r>
        <w:rPr>
          <w:rFonts w:ascii="GHEA Grapalat" w:hAnsi="GHEA Grapalat" w:cs="Sylfaen"/>
          <w:sz w:val="20"/>
          <w:lang w:val="af-ZA"/>
        </w:rPr>
        <w:t>ին:</w:t>
      </w:r>
    </w:p>
    <w:p w:rsidR="00B5033A" w:rsidRPr="00A7446E" w:rsidRDefault="00B5033A" w:rsidP="00B5033A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B5033A" w:rsidRDefault="00B5033A" w:rsidP="00B5033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5033A" w:rsidRPr="00EA309E" w:rsidRDefault="00B5033A" w:rsidP="00B5033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060-700-901</w:t>
      </w:r>
    </w:p>
    <w:p w:rsidR="00B5033A" w:rsidRPr="00EA309E" w:rsidRDefault="00B5033A" w:rsidP="00B5033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4" w:history="1">
        <w:r w:rsidRPr="00433F5C">
          <w:rPr>
            <w:rStyle w:val="Hyperlink"/>
            <w:rFonts w:ascii="GHEA Grapalat" w:hAnsi="GHEA Grapalat"/>
            <w:sz w:val="20"/>
            <w:lang w:val="af-ZA"/>
          </w:rPr>
          <w:t>dilijan.gnumner@mail.ru</w:t>
        </w:r>
      </w:hyperlink>
      <w:r>
        <w:rPr>
          <w:rFonts w:ascii="GHEA Grapalat" w:hAnsi="GHEA Grapalat"/>
          <w:sz w:val="20"/>
          <w:lang w:val="af-ZA"/>
        </w:rPr>
        <w:t xml:space="preserve"> </w:t>
      </w:r>
    </w:p>
    <w:p w:rsidR="00B5033A" w:rsidRPr="00960651" w:rsidRDefault="00B5033A" w:rsidP="00B5033A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B5033A" w:rsidRDefault="00B5033A" w:rsidP="00B5033A">
      <w:pPr>
        <w:pStyle w:val="BodyTextIndent3"/>
        <w:spacing w:after="240"/>
        <w:ind w:firstLine="709"/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Դիլիջանի համայնքապետարան</w:t>
      </w:r>
    </w:p>
    <w:p w:rsidR="00670A09" w:rsidRDefault="00670A09"/>
    <w:sectPr w:rsidR="00670A09" w:rsidSect="005E0856">
      <w:footerReference w:type="even" r:id="rId5"/>
      <w:footerReference w:type="default" r:id="rId6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5033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B5033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5033A" w:rsidP="00B21464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33A"/>
    <w:rsid w:val="00670A09"/>
    <w:rsid w:val="00B5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A5D441-4147-439A-9869-01389F468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3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503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5033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B5033A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B5033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B503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503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5033A"/>
  </w:style>
  <w:style w:type="paragraph" w:styleId="Footer">
    <w:name w:val="footer"/>
    <w:basedOn w:val="Normal"/>
    <w:link w:val="FooterChar"/>
    <w:rsid w:val="00B503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503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B503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yperlink" Target="mailto:dilijan.gnumner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2026-05-22T05:40:00Z</dcterms:created>
  <dcterms:modified xsi:type="dcterms:W3CDTF">2026-05-22T05:47:00Z</dcterms:modified>
</cp:coreProperties>
</file>