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CE" w:rsidRPr="005F645B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lang w:val="hy-AM"/>
        </w:rPr>
      </w:pPr>
    </w:p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bookmarkStart w:id="0" w:name="_GoBack"/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bookmarkEnd w:id="0"/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16032D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AE49AB" w:rsidRPr="00AE49AB">
        <w:rPr>
          <w:rFonts w:ascii="Sylfaen" w:hAnsi="Sylfaen" w:cs="Sylfaen"/>
          <w:b w:val="0"/>
          <w:sz w:val="20"/>
          <w:lang w:val="af-ZA"/>
        </w:rPr>
        <w:t>«ՔԲԿ-ԳՀԱՊՁԲ-21/</w:t>
      </w:r>
      <w:r w:rsidR="005F645B">
        <w:rPr>
          <w:rFonts w:ascii="Sylfaen" w:hAnsi="Sylfaen" w:cs="Sylfaen"/>
          <w:b w:val="0"/>
          <w:sz w:val="20"/>
          <w:lang w:val="hy-AM"/>
        </w:rPr>
        <w:t>36</w:t>
      </w:r>
      <w:r w:rsidR="00AE49AB" w:rsidRPr="00AE49AB">
        <w:rPr>
          <w:rFonts w:ascii="Sylfaen" w:hAnsi="Sylfaen" w:cs="Sylfaen"/>
          <w:b w:val="0"/>
          <w:sz w:val="20"/>
          <w:lang w:val="af-ZA"/>
        </w:rPr>
        <w:t>»</w:t>
      </w:r>
    </w:p>
    <w:p w:rsidR="00AE49AB" w:rsidRDefault="0016032D" w:rsidP="00195AD0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16032D">
        <w:rPr>
          <w:rFonts w:ascii="Sylfaen" w:hAnsi="Sylfaen" w:cs="Sylfaen"/>
          <w:b/>
          <w:i/>
          <w:sz w:val="20"/>
          <w:lang w:val="af-ZA"/>
        </w:rPr>
        <w:t>«Քրեակատար</w:t>
      </w:r>
      <w:r>
        <w:rPr>
          <w:rFonts w:ascii="Sylfaen" w:hAnsi="Sylfaen" w:cs="Sylfaen"/>
          <w:b/>
          <w:i/>
          <w:sz w:val="20"/>
          <w:lang w:val="af-ZA"/>
        </w:rPr>
        <w:t>ողական բժշկության կենտրոն» ՊՈԱԿ</w:t>
      </w:r>
      <w:r>
        <w:rPr>
          <w:rFonts w:ascii="Sylfaen" w:hAnsi="Sylfaen" w:cs="Sylfaen"/>
          <w:b/>
          <w:i/>
          <w:sz w:val="20"/>
          <w:lang w:val="hy-AM"/>
        </w:rPr>
        <w:t>-ը</w:t>
      </w:r>
      <w:r w:rsidR="00467E5B" w:rsidRPr="0016032D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AE49AB" w:rsidRPr="00AE49AB">
        <w:rPr>
          <w:rFonts w:ascii="Times New Roman" w:hAnsi="Times New Roman"/>
          <w:lang w:val="af-ZA"/>
        </w:rPr>
        <w:t xml:space="preserve"> </w:t>
      </w:r>
      <w:r w:rsidR="00AE49AB" w:rsidRPr="00AE49AB">
        <w:rPr>
          <w:rFonts w:ascii="Sylfaen" w:hAnsi="Sylfaen" w:cs="Sylfaen"/>
          <w:sz w:val="20"/>
          <w:lang w:val="af-ZA"/>
        </w:rPr>
        <w:t xml:space="preserve">դեղերի, բժշկական պարագաների, քիմիական նյութերի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</w:p>
    <w:p w:rsidR="00E257CE" w:rsidRDefault="00E257CE" w:rsidP="00195AD0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DB72DA">
        <w:rPr>
          <w:rFonts w:ascii="Sylfaen" w:hAnsi="Sylfaen" w:cs="Sylfaen"/>
          <w:sz w:val="20"/>
          <w:lang w:val="af-ZA"/>
        </w:rPr>
        <w:t xml:space="preserve"> </w:t>
      </w:r>
      <w:r w:rsidR="00AE49AB" w:rsidRPr="00AE49AB">
        <w:rPr>
          <w:rFonts w:ascii="Sylfaen" w:hAnsi="Sylfaen" w:cs="Sylfaen"/>
          <w:sz w:val="20"/>
          <w:lang w:val="af-ZA"/>
        </w:rPr>
        <w:t>«ՔԲԿ-ԳՀԱՊՁԲ-21/</w:t>
      </w:r>
      <w:r w:rsidR="005F645B">
        <w:rPr>
          <w:rFonts w:ascii="Sylfaen" w:hAnsi="Sylfaen" w:cs="Sylfaen"/>
          <w:sz w:val="20"/>
          <w:lang w:val="hy-AM"/>
        </w:rPr>
        <w:t>36</w:t>
      </w:r>
      <w:r w:rsidR="00AE49AB" w:rsidRPr="00AE49AB">
        <w:rPr>
          <w:rFonts w:ascii="Sylfaen" w:hAnsi="Sylfaen" w:cs="Sylfaen"/>
          <w:sz w:val="20"/>
          <w:lang w:val="af-ZA"/>
        </w:rPr>
        <w:t>»</w:t>
      </w:r>
      <w:r w:rsidR="00AE49AB">
        <w:rPr>
          <w:rFonts w:ascii="Sylfaen" w:hAnsi="Sylfaen" w:cs="Sylfaen"/>
          <w:sz w:val="20"/>
          <w:lang w:val="hy-AM"/>
        </w:rPr>
        <w:t xml:space="preserve"> </w:t>
      </w:r>
      <w:r w:rsidR="00AE49AB">
        <w:rPr>
          <w:rFonts w:ascii="Sylfaen" w:hAnsi="Sylfaen" w:cs="Sylfaen"/>
          <w:sz w:val="20"/>
          <w:lang w:val="af-ZA"/>
        </w:rPr>
        <w:t>ծածկագրով գնման ընթացակարգ</w:t>
      </w:r>
      <w:r w:rsidR="00AE49AB">
        <w:rPr>
          <w:rFonts w:ascii="Sylfaen" w:hAnsi="Sylfaen" w:cs="Sylfaen"/>
          <w:sz w:val="20"/>
          <w:lang w:val="hy-AM"/>
        </w:rPr>
        <w:t xml:space="preserve">ի  </w:t>
      </w:r>
      <w:r w:rsidR="005F645B" w:rsidRPr="005F645B">
        <w:rPr>
          <w:rFonts w:ascii="Sylfaen" w:hAnsi="Sylfaen" w:cs="Sylfaen"/>
          <w:sz w:val="20"/>
          <w:lang w:val="af-ZA"/>
        </w:rPr>
        <w:t xml:space="preserve">1, 2, 3, 4, 5, 8, 9, 10, 11, 12, 13, 14, 15, 16, 17, 18, 19, 20, 21, 22, 23, 25, 28, 30, 32, 33, 34 </w:t>
      </w:r>
      <w:r w:rsidR="00AE49AB" w:rsidRPr="005F645B">
        <w:rPr>
          <w:rFonts w:ascii="Sylfaen" w:hAnsi="Sylfaen" w:cs="Sylfaen"/>
          <w:sz w:val="20"/>
          <w:lang w:val="af-ZA"/>
        </w:rPr>
        <w:t>չափաբաժինները չկայացած հայտարարելու</w:t>
      </w:r>
      <w:r w:rsidR="00AE49AB" w:rsidRPr="00AE49AB">
        <w:rPr>
          <w:rFonts w:ascii="Sylfaen" w:hAnsi="Sylfaen" w:cs="Sylfaen"/>
          <w:sz w:val="20"/>
          <w:lang w:val="hy-AM"/>
        </w:rPr>
        <w:t xml:space="preserve"> մասին տեղեկատվությունը`</w:t>
      </w:r>
    </w:p>
    <w:p w:rsidR="00C141D9" w:rsidRPr="00C141D9" w:rsidRDefault="00C141D9" w:rsidP="00195AD0">
      <w:pPr>
        <w:ind w:firstLine="709"/>
        <w:jc w:val="both"/>
        <w:rPr>
          <w:rFonts w:ascii="Sylfaen" w:hAnsi="Sylfaen" w:cs="Sylfaen"/>
          <w:sz w:val="12"/>
          <w:lang w:val="hy-AM"/>
        </w:rPr>
      </w:pP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9"/>
        <w:gridCol w:w="2531"/>
        <w:gridCol w:w="2615"/>
        <w:gridCol w:w="2349"/>
        <w:gridCol w:w="1892"/>
      </w:tblGrid>
      <w:tr w:rsidR="00E257CE" w:rsidRPr="007A30FF" w:rsidTr="002B79D1">
        <w:trPr>
          <w:trHeight w:val="626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57CE" w:rsidRPr="0046565C" w:rsidRDefault="00E257CE" w:rsidP="0046565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F645B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5F645B" w:rsidRPr="00FC7FEF" w:rsidRDefault="005F645B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F645B" w:rsidRPr="00F072C3" w:rsidRDefault="005F645B" w:rsidP="004A6219">
            <w:pPr>
              <w:rPr>
                <w:rFonts w:ascii="GHEA Grapalat" w:hAnsi="GHEA Grapalat"/>
                <w:sz w:val="20"/>
                <w:lang w:val="hy-AM"/>
              </w:rPr>
            </w:pPr>
            <w:r w:rsidRPr="00F072C3">
              <w:rPr>
                <w:rFonts w:ascii="Arial LatArm" w:hAnsi="Arial LatArm" w:cs="Arial"/>
                <w:sz w:val="20"/>
                <w:lang w:val="hy-AM"/>
              </w:rPr>
              <w:t>Ý»ñ³ñÏÙ³Ý ÇÝëáõÉÇÝ (ÉáõÍíáÕ) a10ab</w:t>
            </w:r>
          </w:p>
        </w:tc>
        <w:tc>
          <w:tcPr>
            <w:tcW w:w="2615" w:type="dxa"/>
            <w:shd w:val="clear" w:color="auto" w:fill="auto"/>
          </w:tcPr>
          <w:p w:rsidR="005F645B" w:rsidRPr="00FC7FEF" w:rsidRDefault="009A59AC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F645B" w:rsidRPr="0046565C" w:rsidRDefault="005F645B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F645B" w:rsidRPr="00FC7FEF" w:rsidRDefault="005F645B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2B79D1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2B79D1" w:rsidRPr="00FC7FEF" w:rsidRDefault="002B79D1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2B79D1" w:rsidRPr="006709BF" w:rsidRDefault="002B79D1" w:rsidP="004A6219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վիտամիններ</w:t>
            </w:r>
          </w:p>
        </w:tc>
        <w:tc>
          <w:tcPr>
            <w:tcW w:w="2615" w:type="dxa"/>
            <w:shd w:val="clear" w:color="auto" w:fill="auto"/>
          </w:tcPr>
          <w:p w:rsidR="002B79D1" w:rsidRPr="009A59AC" w:rsidRDefault="002B79D1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B79D1" w:rsidRPr="0046565C" w:rsidRDefault="002B79D1" w:rsidP="005100C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B79D1" w:rsidRPr="00FC7FEF" w:rsidRDefault="002B79D1" w:rsidP="005100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2B79D1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2B79D1" w:rsidRPr="00B6101E" w:rsidRDefault="002B79D1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2B79D1" w:rsidRPr="00F072C3" w:rsidRDefault="002B79D1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 w:rsidRPr="00F072C3">
              <w:rPr>
                <w:rFonts w:ascii="GHEA Grapalat" w:hAnsi="GHEA Grapalat" w:cs="Sylfaen"/>
                <w:sz w:val="20"/>
              </w:rPr>
              <w:t>երկաթի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072C3">
              <w:rPr>
                <w:rFonts w:ascii="GHEA Grapalat" w:hAnsi="GHEA Grapalat" w:cs="Sylfaen"/>
                <w:sz w:val="20"/>
              </w:rPr>
              <w:t>աղ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+ </w:t>
            </w:r>
            <w:proofErr w:type="spellStart"/>
            <w:r w:rsidRPr="00F072C3">
              <w:rPr>
                <w:rFonts w:ascii="GHEA Grapalat" w:hAnsi="GHEA Grapalat" w:cs="Sylfaen"/>
                <w:sz w:val="20"/>
              </w:rPr>
              <w:t>ֆոլաթթու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b03ad</w:t>
            </w:r>
          </w:p>
        </w:tc>
        <w:tc>
          <w:tcPr>
            <w:tcW w:w="2615" w:type="dxa"/>
            <w:shd w:val="clear" w:color="auto" w:fill="auto"/>
          </w:tcPr>
          <w:p w:rsidR="002B79D1" w:rsidRPr="009A59AC" w:rsidRDefault="002B79D1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B79D1" w:rsidRPr="0046565C" w:rsidRDefault="002B79D1" w:rsidP="005100C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B79D1" w:rsidRPr="00FC7FEF" w:rsidRDefault="002B79D1" w:rsidP="005100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5F645B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5F645B" w:rsidRPr="00B6101E" w:rsidRDefault="005F645B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F645B" w:rsidRPr="00226D65" w:rsidRDefault="005F645B" w:rsidP="004A6219">
            <w:pPr>
              <w:rPr>
                <w:rFonts w:ascii="GHEA Grapalat" w:hAnsi="GHEA Grapalat"/>
                <w:sz w:val="20"/>
                <w:lang w:val="pt-BR"/>
              </w:rPr>
            </w:pPr>
            <w:r w:rsidRPr="007D4670">
              <w:rPr>
                <w:rFonts w:ascii="GHEA Grapalat" w:hAnsi="GHEA Grapalat"/>
                <w:sz w:val="20"/>
                <w:lang w:val="pt-BR"/>
              </w:rPr>
              <w:t>բենզաթին բենզիլ­պենիցիլին j01ce08</w:t>
            </w:r>
          </w:p>
        </w:tc>
        <w:tc>
          <w:tcPr>
            <w:tcW w:w="2615" w:type="dxa"/>
            <w:shd w:val="clear" w:color="auto" w:fill="auto"/>
          </w:tcPr>
          <w:p w:rsidR="005F645B" w:rsidRPr="00B6101E" w:rsidRDefault="009A59AC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F645B" w:rsidRPr="0046565C" w:rsidRDefault="005F645B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6101E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F645B" w:rsidRPr="006C5C19" w:rsidRDefault="005F645B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6101E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5F645B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5F645B" w:rsidRPr="002C3EF3" w:rsidRDefault="005F645B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F645B" w:rsidRPr="00FA31E2" w:rsidRDefault="005F645B" w:rsidP="004A6219">
            <w:pPr>
              <w:rPr>
                <w:rFonts w:ascii="GHEA Grapalat" w:hAnsi="GHEA Grapalat"/>
                <w:sz w:val="20"/>
                <w:lang w:val="pt-BR"/>
              </w:rPr>
            </w:pPr>
            <w:r w:rsidRPr="00B473C6">
              <w:rPr>
                <w:rFonts w:ascii="GHEA Grapalat" w:hAnsi="GHEA Grapalat"/>
                <w:sz w:val="20"/>
                <w:lang w:val="pt-BR"/>
              </w:rPr>
              <w:t>նիտրոֆուրանտոյին j01xe01</w:t>
            </w:r>
          </w:p>
        </w:tc>
        <w:tc>
          <w:tcPr>
            <w:tcW w:w="2615" w:type="dxa"/>
            <w:shd w:val="clear" w:color="auto" w:fill="auto"/>
          </w:tcPr>
          <w:p w:rsidR="005F645B" w:rsidRPr="002C3EF3" w:rsidRDefault="009A59AC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F645B" w:rsidRPr="0046565C" w:rsidRDefault="005F645B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C3EF3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F645B" w:rsidRPr="006C5C19" w:rsidRDefault="005F645B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C3EF3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54933" w:rsidRPr="005F645B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054933" w:rsidRPr="00313D4F" w:rsidRDefault="0005493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313D4F">
              <w:rPr>
                <w:rFonts w:ascii="Sylfaen" w:hAnsi="Sylfaen"/>
                <w:b/>
                <w:sz w:val="20"/>
                <w:lang w:val="hy-AM"/>
              </w:rPr>
              <w:t>7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054933" w:rsidRPr="00313D4F" w:rsidRDefault="00054933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 w:rsidRPr="00313D4F">
              <w:rPr>
                <w:rFonts w:ascii="GHEA Grapalat" w:hAnsi="GHEA Grapalat" w:cs="Arial"/>
                <w:sz w:val="20"/>
              </w:rPr>
              <w:t>նիտրօքսոլին</w:t>
            </w:r>
            <w:proofErr w:type="spellEnd"/>
            <w:r w:rsidRPr="00313D4F">
              <w:rPr>
                <w:rFonts w:ascii="GHEA Grapalat" w:hAnsi="GHEA Grapalat" w:cs="Arial"/>
                <w:sz w:val="20"/>
              </w:rPr>
              <w:t xml:space="preserve">  J01XX07</w:t>
            </w:r>
          </w:p>
        </w:tc>
        <w:tc>
          <w:tcPr>
            <w:tcW w:w="2615" w:type="dxa"/>
            <w:shd w:val="clear" w:color="auto" w:fill="auto"/>
          </w:tcPr>
          <w:p w:rsidR="00054933" w:rsidRPr="00313D4F" w:rsidRDefault="00054933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313D4F">
              <w:rPr>
                <w:rFonts w:ascii="Sylfaen" w:hAnsi="Sylfaen"/>
                <w:noProof/>
                <w:sz w:val="20"/>
                <w:lang w:val="hy-AM" w:eastAsia="en-US"/>
              </w:rPr>
              <w:t>«ՋիԱրՋի»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54933" w:rsidRPr="0046565C" w:rsidRDefault="00054933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  <w:r w:rsidRPr="002C3EF3">
              <w:rPr>
                <w:rFonts w:ascii="Sylfaen" w:hAnsi="Sylfaen"/>
                <w:b/>
                <w:sz w:val="20"/>
                <w:lang w:val="af-ZA"/>
              </w:rPr>
              <w:t>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54933" w:rsidRPr="006C5C19" w:rsidRDefault="0005493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54933">
              <w:rPr>
                <w:rFonts w:ascii="Sylfaen" w:hAnsi="Sylfaen"/>
                <w:sz w:val="20"/>
                <w:lang w:val="af-ZA"/>
              </w:rPr>
              <w:t>Բարձր գնային առաջարկ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2C3EF3" w:rsidRDefault="009A59AC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9A59AC" w:rsidRPr="00B94CF1" w:rsidRDefault="009A59AC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մեթոտրեքսատ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I01ba01, I04ax03</w:t>
            </w:r>
          </w:p>
        </w:tc>
        <w:tc>
          <w:tcPr>
            <w:tcW w:w="2615" w:type="dxa"/>
            <w:shd w:val="clear" w:color="auto" w:fill="auto"/>
          </w:tcPr>
          <w:p w:rsidR="009A59AC" w:rsidRPr="002C3EF3" w:rsidRDefault="009A59AC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2C3EF3" w:rsidRDefault="009A59AC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9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231E39" w:rsidRDefault="009A59AC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 w:rsidRPr="00231E39">
              <w:rPr>
                <w:rFonts w:ascii="GHEA Grapalat" w:hAnsi="GHEA Grapalat"/>
                <w:sz w:val="20"/>
              </w:rPr>
              <w:t>այլ</w:t>
            </w:r>
            <w:proofErr w:type="spellEnd"/>
            <w:r w:rsidRPr="00231E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31E39">
              <w:rPr>
                <w:rFonts w:ascii="GHEA Grapalat" w:hAnsi="GHEA Grapalat"/>
                <w:sz w:val="20"/>
              </w:rPr>
              <w:t>դեղորայք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9A59AC" w:rsidRPr="002C3EF3" w:rsidRDefault="009A59AC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502851" w:rsidRDefault="009A59AC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2C31CD" w:rsidRDefault="009A59AC" w:rsidP="004A6219">
            <w:pPr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B94CF1">
              <w:rPr>
                <w:rFonts w:ascii="GHEA Grapalat" w:hAnsi="GHEA Grapalat"/>
                <w:sz w:val="20"/>
              </w:rPr>
              <w:t>այլ</w:t>
            </w:r>
            <w:proofErr w:type="spellEnd"/>
            <w:r w:rsidRPr="002C31CD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B94CF1">
              <w:rPr>
                <w:rFonts w:ascii="GHEA Grapalat" w:hAnsi="GHEA Grapalat"/>
                <w:sz w:val="20"/>
              </w:rPr>
              <w:t>դեղորայք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042134" w:rsidRDefault="009A59AC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F918A2" w:rsidRDefault="009A59AC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դեղորայք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9D736C" w:rsidRDefault="009A59AC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F918A2" w:rsidRDefault="009A59AC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դեղորայք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9D736C" w:rsidRDefault="009A59AC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231E39" w:rsidRDefault="009A59AC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 w:rsidRPr="00231E39">
              <w:rPr>
                <w:rFonts w:ascii="GHEA Grapalat" w:hAnsi="GHEA Grapalat"/>
                <w:sz w:val="20"/>
              </w:rPr>
              <w:t>ֆոսֆոլիպիդներ</w:t>
            </w:r>
            <w:proofErr w:type="spellEnd"/>
            <w:r w:rsidRPr="00231E39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231E39">
              <w:rPr>
                <w:rFonts w:ascii="GHEA Grapalat" w:hAnsi="GHEA Grapalat"/>
                <w:sz w:val="20"/>
              </w:rPr>
              <w:t>էսենցիալ</w:t>
            </w:r>
            <w:proofErr w:type="spellEnd"/>
            <w:r w:rsidRPr="00231E39">
              <w:rPr>
                <w:rFonts w:ascii="GHEA Grapalat" w:hAnsi="GHEA Grapalat"/>
                <w:sz w:val="20"/>
              </w:rPr>
              <w:t>)-ԷՖԼ  A05C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9D736C" w:rsidRDefault="009A59AC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0D6DBD" w:rsidRDefault="009A59AC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 w:rsidRPr="000D6DBD">
              <w:rPr>
                <w:rFonts w:ascii="GHEA Grapalat" w:hAnsi="GHEA Grapalat"/>
                <w:sz w:val="20"/>
              </w:rPr>
              <w:t>լևոմեպրոմազին</w:t>
            </w:r>
            <w:proofErr w:type="spellEnd"/>
            <w:r w:rsidRPr="000D6DBD">
              <w:rPr>
                <w:rFonts w:ascii="GHEA Grapalat" w:hAnsi="GHEA Grapalat"/>
                <w:sz w:val="20"/>
              </w:rPr>
              <w:t xml:space="preserve"> - N05AA02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196B06" w:rsidRDefault="009A59AC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226D65" w:rsidRDefault="009A59AC" w:rsidP="004A6219">
            <w:pPr>
              <w:rPr>
                <w:rFonts w:ascii="GHEA Grapalat" w:hAnsi="GHEA Grapalat"/>
                <w:sz w:val="20"/>
                <w:lang w:val="pt-BR"/>
              </w:rPr>
            </w:pPr>
            <w:r w:rsidRPr="002D2887">
              <w:rPr>
                <w:rFonts w:ascii="GHEA Grapalat" w:hAnsi="GHEA Grapalat"/>
                <w:sz w:val="20"/>
                <w:lang w:val="hy-AM"/>
              </w:rPr>
              <w:t>գլյուկոզամին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(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գլյուկոզամինիսուլֆատ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), 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քոնդրոիտինիսուլֆատ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իբուպրոֆեն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– M09AX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392DB6" w:rsidRDefault="009A59AC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16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930ACC" w:rsidRDefault="009A59AC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 w:rsidRPr="00724AF6">
              <w:rPr>
                <w:rFonts w:ascii="GHEA Grapalat" w:hAnsi="GHEA Grapalat"/>
                <w:sz w:val="20"/>
              </w:rPr>
              <w:t>ռանիտիդին</w:t>
            </w:r>
            <w:proofErr w:type="spellEnd"/>
            <w:r w:rsidRPr="00724AF6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724AF6">
              <w:rPr>
                <w:rFonts w:ascii="GHEA Grapalat" w:hAnsi="GHEA Grapalat"/>
                <w:sz w:val="20"/>
              </w:rPr>
              <w:t>ռանիտիդինի</w:t>
            </w:r>
            <w:proofErr w:type="spellEnd"/>
            <w:r w:rsidRPr="00724AF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24AF6">
              <w:rPr>
                <w:rFonts w:ascii="GHEA Grapalat" w:hAnsi="GHEA Grapalat"/>
                <w:sz w:val="20"/>
              </w:rPr>
              <w:t>հիդրոքլորիդ</w:t>
            </w:r>
            <w:proofErr w:type="spellEnd"/>
            <w:r w:rsidRPr="00724AF6">
              <w:rPr>
                <w:rFonts w:ascii="GHEA Grapalat" w:hAnsi="GHEA Grapalat"/>
                <w:sz w:val="20"/>
              </w:rPr>
              <w:t>)-A02BA02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17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0D6DBD" w:rsidRDefault="009A59AC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 w:rsidRPr="000D6DBD">
              <w:rPr>
                <w:rFonts w:ascii="GHEA Grapalat" w:hAnsi="GHEA Grapalat"/>
                <w:sz w:val="20"/>
              </w:rPr>
              <w:t>պեպտիդներ</w:t>
            </w:r>
            <w:proofErr w:type="spellEnd"/>
            <w:r w:rsidRPr="000D6DB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D6DBD">
              <w:rPr>
                <w:rFonts w:ascii="GHEA Grapalat" w:hAnsi="GHEA Grapalat"/>
                <w:sz w:val="20"/>
              </w:rPr>
              <w:t>խոզի</w:t>
            </w:r>
            <w:proofErr w:type="spellEnd"/>
            <w:r w:rsidRPr="000D6DB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D6DBD">
              <w:rPr>
                <w:rFonts w:ascii="GHEA Grapalat" w:hAnsi="GHEA Grapalat"/>
                <w:sz w:val="20"/>
              </w:rPr>
              <w:t>գլխուղեղից</w:t>
            </w:r>
            <w:proofErr w:type="spellEnd"/>
            <w:r w:rsidRPr="000D6DBD">
              <w:rPr>
                <w:rFonts w:ascii="GHEA Grapalat" w:hAnsi="GHEA Grapalat"/>
                <w:sz w:val="20"/>
              </w:rPr>
              <w:t xml:space="preserve">    -N06BX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A33F2C" w:rsidRDefault="009A59AC" w:rsidP="004A6219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մագնեզիում ասպարտատ (մագ</w:t>
            </w:r>
            <w:r w:rsidRPr="00A33F2C">
              <w:rPr>
                <w:rFonts w:ascii="GHEA Grapalat" w:hAnsi="GHEA Grapalat"/>
                <w:sz w:val="20"/>
                <w:lang w:val="pt-BR"/>
              </w:rPr>
              <w:t>նեզիում ասպարտատի տետրահիդրատ), կալիումի ասպարտատ (կալիում ասպարտատի հեմիհիդրատ) - A12CC05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19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226D65" w:rsidRDefault="009A59AC" w:rsidP="004A6219">
            <w:pPr>
              <w:rPr>
                <w:rFonts w:ascii="GHEA Grapalat" w:hAnsi="GHEA Grapalat"/>
                <w:sz w:val="20"/>
                <w:lang w:val="pt-BR"/>
              </w:rPr>
            </w:pPr>
            <w:r w:rsidRPr="002D2887">
              <w:rPr>
                <w:rFonts w:ascii="GHEA Grapalat" w:hAnsi="GHEA Grapalat"/>
                <w:sz w:val="20"/>
                <w:lang w:val="hy-AM"/>
              </w:rPr>
              <w:t>մագնեզիում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(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մագնեզիում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ասպարտատի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տետրահիդրատ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), 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կալիում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(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կալիում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ասպարտատի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D2887">
              <w:rPr>
                <w:rFonts w:ascii="GHEA Grapalat" w:hAnsi="GHEA Grapalat"/>
                <w:sz w:val="20"/>
                <w:lang w:val="hy-AM"/>
              </w:rPr>
              <w:t>հեմիհիդրատ</w:t>
            </w:r>
            <w:r w:rsidRPr="00226D65">
              <w:rPr>
                <w:rFonts w:ascii="GHEA Grapalat" w:hAnsi="GHEA Grapalat"/>
                <w:sz w:val="20"/>
                <w:lang w:val="pt-BR"/>
              </w:rPr>
              <w:t>)-A12CC30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930ACC" w:rsidRDefault="009A59AC" w:rsidP="004A6219">
            <w:pPr>
              <w:rPr>
                <w:rFonts w:ascii="GHEA Grapalat" w:hAnsi="GHEA Grapalat"/>
                <w:sz w:val="20"/>
              </w:rPr>
            </w:pPr>
            <w:proofErr w:type="spellStart"/>
            <w:r w:rsidRPr="002B5DE1">
              <w:rPr>
                <w:rFonts w:ascii="GHEA Grapalat" w:hAnsi="GHEA Grapalat"/>
                <w:sz w:val="20"/>
              </w:rPr>
              <w:t>տրօքսերուտին</w:t>
            </w:r>
            <w:proofErr w:type="spellEnd"/>
            <w:r w:rsidRPr="002B5DE1">
              <w:rPr>
                <w:rFonts w:ascii="GHEA Grapalat" w:hAnsi="GHEA Grapalat"/>
                <w:sz w:val="20"/>
              </w:rPr>
              <w:t xml:space="preserve"> C05CA04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FF5FB3" w:rsidRDefault="009A59AC" w:rsidP="004A6219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Վիրաբուժական բաժանմունքի սավաններ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F072C3" w:rsidRDefault="009A59AC" w:rsidP="004A6219">
            <w:pPr>
              <w:rPr>
                <w:rFonts w:ascii="GHEA Grapalat" w:hAnsi="GHEA Grapalat"/>
                <w:sz w:val="20"/>
                <w:lang w:val="pt-BR"/>
              </w:rPr>
            </w:pPr>
            <w:r w:rsidRPr="00F072C3">
              <w:rPr>
                <w:rFonts w:ascii="GHEA Grapalat" w:hAnsi="GHEA Grapalat" w:cs="Sylfaen"/>
                <w:sz w:val="20"/>
                <w:lang w:val="hy-AM"/>
              </w:rPr>
              <w:t>ալյումինիումիհիդրօքսիդ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 + 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մա</w:t>
            </w:r>
            <w:r w:rsidRPr="00F072C3">
              <w:rPr>
                <w:rFonts w:ascii="Sylfaen" w:hAnsi="Sylfaen"/>
                <w:sz w:val="20"/>
                <w:lang w:val="hy-AM"/>
              </w:rPr>
              <w:t>գ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նեզիումի</w:t>
            </w:r>
            <w:r w:rsidRPr="004902A6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հիդրօքսիդ</w:t>
            </w:r>
          </w:p>
          <w:p w:rsidR="009A59AC" w:rsidRPr="00F072C3" w:rsidRDefault="009A59AC" w:rsidP="004A621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072C3">
              <w:rPr>
                <w:rFonts w:ascii="GHEA Grapalat" w:hAnsi="GHEA Grapalat"/>
              </w:rPr>
              <w:t>a02aa04  a02ab01 g04bx01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Default="009A59AC" w:rsidP="004A621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15961">
              <w:rPr>
                <w:rFonts w:ascii="GHEA Grapalat" w:hAnsi="GHEA Grapalat"/>
                <w:sz w:val="16"/>
                <w:szCs w:val="16"/>
              </w:rPr>
              <w:t>սոճի անտառային յուղ, նիվենու յուղ, թիմոլ, տոկոֆերոլի աց</w:t>
            </w:r>
            <w:r>
              <w:rPr>
                <w:rFonts w:ascii="GHEA Grapalat" w:hAnsi="GHEA Grapalat"/>
                <w:sz w:val="16"/>
                <w:szCs w:val="16"/>
              </w:rPr>
              <w:t>ետատ, պղպեղային անանուխի յուղ, գ</w:t>
            </w:r>
            <w:r w:rsidRPr="00D15961">
              <w:rPr>
                <w:rFonts w:ascii="GHEA Grapalat" w:hAnsi="GHEA Grapalat"/>
                <w:sz w:val="16"/>
                <w:szCs w:val="16"/>
              </w:rPr>
              <w:t>վայազուլեն R01AX30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6709BF" w:rsidRDefault="009A59AC" w:rsidP="004A6219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վիտամիններ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9114F6" w:rsidRDefault="009A59AC" w:rsidP="004A6219">
            <w:pPr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F918A2">
              <w:rPr>
                <w:rFonts w:ascii="GHEA Grapalat" w:hAnsi="GHEA Grapalat" w:cs="Arial"/>
                <w:sz w:val="20"/>
              </w:rPr>
              <w:t>պարացետամոլ</w:t>
            </w:r>
            <w:proofErr w:type="spellEnd"/>
            <w:r w:rsidRPr="00F918A2">
              <w:rPr>
                <w:rFonts w:ascii="GHEA Grapalat" w:hAnsi="GHEA Grapalat" w:cs="Arial"/>
                <w:sz w:val="20"/>
              </w:rPr>
              <w:t xml:space="preserve"> n02be01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B94CF1" w:rsidRDefault="009A59AC" w:rsidP="004A6219">
            <w:pPr>
              <w:jc w:val="center"/>
              <w:rPr>
                <w:rFonts w:ascii="Arial LatArm" w:hAnsi="Arial LatArm" w:cs="Arial"/>
                <w:sz w:val="16"/>
                <w:szCs w:val="16"/>
                <w:highlight w:val="yellow"/>
                <w:lang w:val="pt-BR"/>
              </w:rPr>
            </w:pPr>
            <w:proofErr w:type="spellStart"/>
            <w:r w:rsidRPr="00B94CF1">
              <w:rPr>
                <w:rFonts w:ascii="GHEA Grapalat" w:hAnsi="GHEA Grapalat"/>
                <w:sz w:val="20"/>
              </w:rPr>
              <w:t>քլորպրոմազին</w:t>
            </w:r>
            <w:proofErr w:type="spellEnd"/>
            <w:r w:rsidRPr="00B94CF1">
              <w:rPr>
                <w:rFonts w:ascii="GHEA Grapalat" w:hAnsi="GHEA Grapalat"/>
                <w:sz w:val="20"/>
              </w:rPr>
              <w:t xml:space="preserve"> n05aa01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DB73AE" w:rsidRDefault="009A59AC" w:rsidP="004A6219">
            <w:pPr>
              <w:rPr>
                <w:rFonts w:ascii="GHEA Grapalat" w:hAnsi="GHEA Grapalat"/>
                <w:sz w:val="20"/>
                <w:lang w:val="pt-BR"/>
              </w:rPr>
            </w:pPr>
            <w:r w:rsidRPr="00DB73AE">
              <w:rPr>
                <w:rFonts w:ascii="GHEA Grapalat" w:hAnsi="GHEA Grapalat"/>
                <w:sz w:val="20"/>
                <w:lang w:val="pt-BR"/>
              </w:rPr>
              <w:t>տենոֆովիր դիսոպրոքսիլ ֆումարատ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DB73AE">
              <w:rPr>
                <w:rFonts w:ascii="GHEA Grapalat" w:hAnsi="GHEA Grapalat"/>
                <w:sz w:val="20"/>
                <w:lang w:val="pt-BR"/>
              </w:rPr>
              <w:t>j05af07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231E39" w:rsidRDefault="009A59AC" w:rsidP="004A6219">
            <w:pPr>
              <w:rPr>
                <w:rFonts w:ascii="GHEA Grapalat" w:hAnsi="GHEA Grapalat"/>
                <w:sz w:val="20"/>
                <w:lang w:val="hy-AM"/>
              </w:rPr>
            </w:pPr>
            <w:r w:rsidRPr="00231E39">
              <w:rPr>
                <w:rFonts w:ascii="GHEA Grapalat" w:hAnsi="GHEA Grapalat"/>
                <w:sz w:val="20"/>
                <w:lang w:val="hy-AM"/>
              </w:rPr>
              <w:t>«սնդուկ» տիպի սառնարաններ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A59AC" w:rsidRPr="007A30FF" w:rsidTr="002B79D1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A59AC" w:rsidRPr="00FC7FEF" w:rsidRDefault="009A59AC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A59AC" w:rsidRPr="00231E39" w:rsidRDefault="009A59AC" w:rsidP="004A6219">
            <w:pPr>
              <w:rPr>
                <w:rFonts w:ascii="GHEA Grapalat" w:hAnsi="GHEA Grapalat"/>
                <w:sz w:val="20"/>
                <w:lang w:val="hy-AM"/>
              </w:rPr>
            </w:pPr>
            <w:r w:rsidRPr="00231E39">
              <w:rPr>
                <w:rFonts w:ascii="GHEA Grapalat" w:hAnsi="GHEA Grapalat"/>
                <w:sz w:val="20"/>
                <w:lang w:val="hy-AM"/>
              </w:rPr>
              <w:t>սառույցներ</w:t>
            </w:r>
          </w:p>
        </w:tc>
        <w:tc>
          <w:tcPr>
            <w:tcW w:w="2615" w:type="dxa"/>
            <w:shd w:val="clear" w:color="auto" w:fill="auto"/>
          </w:tcPr>
          <w:p w:rsidR="009A59AC" w:rsidRDefault="009A59AC" w:rsidP="009A59AC">
            <w:pPr>
              <w:jc w:val="center"/>
            </w:pPr>
            <w:r w:rsidRPr="00EF759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59AC" w:rsidRPr="0046565C" w:rsidRDefault="009A59AC" w:rsidP="004A62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59AC" w:rsidRPr="006C5C19" w:rsidRDefault="009A59AC" w:rsidP="004A621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«ՔԲԿ-ԳՀԱՊՁԲ-21/</w:t>
      </w:r>
      <w:r w:rsidR="00252913">
        <w:rPr>
          <w:rFonts w:ascii="Sylfaen" w:hAnsi="Sylfaen" w:cs="Sylfaen"/>
          <w:sz w:val="20"/>
          <w:lang w:val="hy-AM"/>
        </w:rPr>
        <w:t>36</w:t>
      </w:r>
      <w:r w:rsidRPr="00AE49AB">
        <w:rPr>
          <w:rFonts w:ascii="Sylfaen" w:hAnsi="Sylfaen" w:cs="Sylfaen"/>
          <w:sz w:val="20"/>
          <w:lang w:val="af-ZA"/>
        </w:rPr>
        <w:t>»» ծածկագրով գնահատող հանձնաժողովի քարտուղար   Մանուշակ Գրիգորյանին։</w:t>
      </w:r>
    </w:p>
    <w:p w:rsidR="00AE49AB" w:rsidRPr="00252913" w:rsidRDefault="00AE49AB" w:rsidP="00AE49AB">
      <w:pPr>
        <w:rPr>
          <w:rFonts w:ascii="Sylfaen" w:hAnsi="Sylfaen" w:cs="Sylfaen"/>
          <w:sz w:val="20"/>
          <w:lang w:val="hy-AM"/>
        </w:rPr>
      </w:pPr>
      <w:r w:rsidRPr="00AE49AB">
        <w:rPr>
          <w:rFonts w:ascii="Sylfaen" w:hAnsi="Sylfaen" w:cs="Sylfaen"/>
          <w:sz w:val="20"/>
          <w:lang w:val="af-ZA"/>
        </w:rPr>
        <w:t xml:space="preserve">Հեռախոս </w:t>
      </w:r>
      <w:r w:rsidR="00252913">
        <w:rPr>
          <w:rFonts w:ascii="Sylfaen" w:hAnsi="Sylfaen" w:cs="Sylfaen"/>
          <w:sz w:val="20"/>
          <w:lang w:val="hy-AM"/>
        </w:rPr>
        <w:t>012351035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Էլ. փոստ՝ qbk.gnumner@gmail.com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Պատվիրատու` «Քրեակատարողական բժշկության կենտրոն» ՊՈԱԿ</w:t>
      </w:r>
    </w:p>
    <w:p w:rsidR="00BB10A2" w:rsidRDefault="00BB10A2"/>
    <w:sectPr w:rsidR="00BB10A2" w:rsidSect="00274EE0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8B" w:rsidRDefault="00C0488B" w:rsidP="00F600C4">
      <w:r>
        <w:separator/>
      </w:r>
    </w:p>
  </w:endnote>
  <w:endnote w:type="continuationSeparator" w:id="0">
    <w:p w:rsidR="00C0488B" w:rsidRDefault="00C0488B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EF" w:rsidRDefault="00FC7FEF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FEF" w:rsidRDefault="00FC7FEF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EF" w:rsidRDefault="00FC7FEF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8B" w:rsidRDefault="00C0488B" w:rsidP="00F600C4">
      <w:r>
        <w:separator/>
      </w:r>
    </w:p>
  </w:footnote>
  <w:footnote w:type="continuationSeparator" w:id="0">
    <w:p w:rsidR="00C0488B" w:rsidRDefault="00C0488B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CE"/>
    <w:rsid w:val="00042134"/>
    <w:rsid w:val="00054933"/>
    <w:rsid w:val="0016032D"/>
    <w:rsid w:val="001866E5"/>
    <w:rsid w:val="00195AD0"/>
    <w:rsid w:val="00196B06"/>
    <w:rsid w:val="002332BB"/>
    <w:rsid w:val="00252913"/>
    <w:rsid w:val="00274EE0"/>
    <w:rsid w:val="00277337"/>
    <w:rsid w:val="002B79D1"/>
    <w:rsid w:val="002C3EF3"/>
    <w:rsid w:val="002D2887"/>
    <w:rsid w:val="00300B25"/>
    <w:rsid w:val="00313D4F"/>
    <w:rsid w:val="00392DB6"/>
    <w:rsid w:val="003C344B"/>
    <w:rsid w:val="0046565C"/>
    <w:rsid w:val="00467E5B"/>
    <w:rsid w:val="00502851"/>
    <w:rsid w:val="00534013"/>
    <w:rsid w:val="005F3467"/>
    <w:rsid w:val="005F645B"/>
    <w:rsid w:val="0068150E"/>
    <w:rsid w:val="0069733C"/>
    <w:rsid w:val="006C5C19"/>
    <w:rsid w:val="006E29E1"/>
    <w:rsid w:val="007A30FF"/>
    <w:rsid w:val="007F76EE"/>
    <w:rsid w:val="008C22DC"/>
    <w:rsid w:val="008F0EE1"/>
    <w:rsid w:val="009A59AC"/>
    <w:rsid w:val="009D736C"/>
    <w:rsid w:val="00AE49AB"/>
    <w:rsid w:val="00B6101E"/>
    <w:rsid w:val="00BB10A2"/>
    <w:rsid w:val="00C0488B"/>
    <w:rsid w:val="00C141D9"/>
    <w:rsid w:val="00C53778"/>
    <w:rsid w:val="00E07623"/>
    <w:rsid w:val="00E21FAA"/>
    <w:rsid w:val="00E257CE"/>
    <w:rsid w:val="00F3077A"/>
    <w:rsid w:val="00F45580"/>
    <w:rsid w:val="00F600C4"/>
    <w:rsid w:val="00FB43B1"/>
    <w:rsid w:val="00FC7FEF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8150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8150E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8150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8150E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5</cp:revision>
  <cp:lastPrinted>2021-03-16T10:49:00Z</cp:lastPrinted>
  <dcterms:created xsi:type="dcterms:W3CDTF">2021-11-15T06:11:00Z</dcterms:created>
  <dcterms:modified xsi:type="dcterms:W3CDTF">2021-11-15T10:35:00Z</dcterms:modified>
</cp:coreProperties>
</file>