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8D1634" w:rsidRPr="00750E80" w:rsidRDefault="008D1634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</w:t>
      </w:r>
      <w:r w:rsidR="00B11B1D">
        <w:rPr>
          <w:rFonts w:ascii="GHEA Grapalat" w:hAnsi="GHEA Grapalat"/>
          <w:b/>
          <w:sz w:val="19"/>
          <w:szCs w:val="19"/>
          <w:lang w:val="es-ES"/>
        </w:rPr>
        <w:t>ՀՀ ՊՆ ՆՏԱԴ-ՓՊՄԾՁԲ-</w:t>
      </w:r>
      <w:r w:rsidR="006653B9">
        <w:rPr>
          <w:rFonts w:ascii="GHEA Grapalat" w:hAnsi="GHEA Grapalat"/>
          <w:b/>
          <w:sz w:val="19"/>
          <w:szCs w:val="19"/>
          <w:lang w:val="es-ES"/>
        </w:rPr>
        <w:t>18/204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="00A91B43">
        <w:rPr>
          <w:rFonts w:ascii="GHEA Grapalat" w:hAnsi="GHEA Grapalat"/>
          <w:b/>
          <w:sz w:val="19"/>
          <w:szCs w:val="19"/>
          <w:lang w:val="es-ES"/>
        </w:rPr>
        <w:t xml:space="preserve"> </w:t>
      </w:r>
      <w:r w:rsidR="00E75199" w:rsidRPr="00981F6E">
        <w:rPr>
          <w:rFonts w:ascii="GHEA Grapalat" w:hAnsi="GHEA Grapalat"/>
          <w:b/>
          <w:i w:val="0"/>
          <w:color w:val="FF0000"/>
          <w:lang w:val="af-ZA"/>
        </w:rPr>
        <w:t>(ՓՈՓՈԽՎԱԾ)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ՀՀ պաշտպանության նախարարություն, որը գտնվում է ք. Երևան, Բագրևանդի5 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D671EE">
        <w:rPr>
          <w:rFonts w:ascii="GHEA Grapalat" w:hAnsi="GHEA Grapalat"/>
          <w:b/>
          <w:color w:val="FF0000"/>
          <w:sz w:val="19"/>
          <w:szCs w:val="19"/>
          <w:lang w:val="af-ZA"/>
        </w:rPr>
        <w:t>Հեռախոսային</w:t>
      </w:r>
      <w:r w:rsidR="00D02B96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ծառայությունների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D671EE">
        <w:rPr>
          <w:rFonts w:ascii="GHEA Grapalat" w:hAnsi="GHEA Grapalat"/>
          <w:b/>
          <w:color w:val="FF0000"/>
          <w:sz w:val="19"/>
          <w:szCs w:val="19"/>
          <w:lang w:val="af-ZA"/>
        </w:rPr>
        <w:t>կապի, և/կամ բջջային, և/կամ իներնետային ծաայույուններ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 xml:space="preserve"> մատուցած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լինելը: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8D1634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sz w:val="19"/>
          <w:szCs w:val="19"/>
        </w:rPr>
      </w:pPr>
      <w:r w:rsidRPr="008D1634">
        <w:rPr>
          <w:rFonts w:ascii="GHEA Grapalat" w:hAnsi="GHEA Grapalat" w:cs="Sylfaen"/>
          <w:b/>
          <w:i w:val="0"/>
          <w:sz w:val="19"/>
          <w:szCs w:val="19"/>
          <w:lang w:val="af-ZA"/>
        </w:rPr>
        <w:t xml:space="preserve">III. </w:t>
      </w:r>
      <w:r w:rsidRPr="008D1634">
        <w:rPr>
          <w:rFonts w:ascii="GHEA Grapalat" w:hAnsi="GHEA Grapalat" w:cs="Sylfaen"/>
          <w:b/>
          <w:i w:val="0"/>
          <w:sz w:val="19"/>
          <w:szCs w:val="19"/>
        </w:rPr>
        <w:t>ՊԱՐԶԱԲԱՆՈՒՄՍՏԱՆԱԼՈՒԵՎՀԱՅՏԱՐԱՐՈՒԹՅԱՆՄԵՋՓՈՓՈԽՈՒԹՅՈՒՆԿԱՏԱՐԵԼՈՒԿԱՐԳԸ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r w:rsidR="004803EF" w:rsidRPr="00EC52B8">
        <w:rPr>
          <w:rFonts w:ascii="GHEA Grapalat" w:hAnsi="GHEA Grapalat" w:cs="Sylfaen"/>
          <w:sz w:val="19"/>
          <w:szCs w:val="19"/>
        </w:rPr>
        <w:t>ՄասնակիցնիրավունքունիՀՀպաշտպանությաննախարարությունիցպահանջելունախաորակավորմանհայտարարությանվերաբերյալպարզաբանում։ՀՀպաշտպանությաննախարարությունըհարցումըկատարած</w:t>
      </w:r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ասնակցինպարզաբանումըտրամադրումէհարցումըստանալուօրվանհաջորդողօրացուցայինօրվաընթացքում</w:t>
      </w:r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"/>
          <w:sz w:val="19"/>
          <w:szCs w:val="19"/>
        </w:rPr>
        <w:t>Սույնկետումնշվածհարցումըմասնակիցըներկայացնումէ</w:t>
      </w:r>
      <w:r w:rsidR="00C232CF" w:rsidRPr="00EC52B8">
        <w:rPr>
          <w:rFonts w:ascii="GHEA Grapalat" w:hAnsi="GHEA Grapalat" w:cs="Arial"/>
          <w:sz w:val="19"/>
          <w:szCs w:val="19"/>
        </w:rPr>
        <w:t>գնումներըհամակարգողի</w:t>
      </w:r>
      <w:r w:rsidRPr="00EC52B8">
        <w:rPr>
          <w:rFonts w:ascii="GHEA Grapalat" w:hAnsi="GHEA Grapalat" w:cs="Arial"/>
          <w:sz w:val="19"/>
          <w:szCs w:val="19"/>
        </w:rPr>
        <w:t>էլեկտրոնայինփոստինուղարկելումիջոցով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 w:cs="Arial"/>
          <w:sz w:val="19"/>
          <w:szCs w:val="19"/>
        </w:rPr>
        <w:t>Հարցմանմասինպարզաբանումնուղարկվումէ</w:t>
      </w:r>
      <w:r w:rsidR="00C232CF" w:rsidRPr="00EC52B8">
        <w:rPr>
          <w:rFonts w:ascii="GHEA Grapalat" w:hAnsi="GHEA Grapalat" w:cs="Arial"/>
          <w:sz w:val="19"/>
          <w:szCs w:val="19"/>
        </w:rPr>
        <w:t>գնումներըհամակարգողի</w:t>
      </w:r>
      <w:r w:rsidR="008D1634">
        <w:rPr>
          <w:rFonts w:ascii="GHEA Grapalat" w:hAnsi="GHEA Grapalat" w:cs="Arial"/>
          <w:sz w:val="19"/>
          <w:szCs w:val="19"/>
          <w:lang w:val="af-ZA"/>
        </w:rPr>
        <w:t>,</w:t>
      </w:r>
      <w:r w:rsidRPr="00EC52B8">
        <w:rPr>
          <w:rFonts w:ascii="GHEA Grapalat" w:hAnsi="GHEA Grapalat" w:cs="Arial"/>
          <w:sz w:val="19"/>
          <w:szCs w:val="19"/>
        </w:rPr>
        <w:t>սույնհրավերովնախատեսված</w:t>
      </w:r>
      <w:r w:rsidR="008D1634">
        <w:rPr>
          <w:rFonts w:ascii="GHEA Grapalat" w:hAnsi="GHEA Grapalat" w:cs="Arial"/>
          <w:sz w:val="19"/>
          <w:szCs w:val="19"/>
        </w:rPr>
        <w:t>,</w:t>
      </w:r>
      <w:r w:rsidRPr="00EC52B8">
        <w:rPr>
          <w:rFonts w:ascii="GHEA Grapalat" w:hAnsi="GHEA Grapalat" w:cs="Arial"/>
          <w:sz w:val="19"/>
          <w:szCs w:val="19"/>
        </w:rPr>
        <w:t>էլեկտրոնայինփոստիցմասնակցի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հարցումըստացվածէլեկտրոնայինփոստինուղարկելումիջոցով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EC52B8">
        <w:rPr>
          <w:rFonts w:ascii="GHEA Grapalat" w:hAnsi="GHEA Grapalat" w:cs="Sylfaen"/>
          <w:sz w:val="19"/>
          <w:szCs w:val="19"/>
        </w:rPr>
        <w:t>Հարցմանևպարզաբանումներիբովանդակությանմասինհայտարարությունըպարզաբանումըտրամադրելուօրըհրապարակվումէտեղեկագրում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առանցնշելուհարցումըկատարածմասնակցիտվյալները։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r w:rsidRPr="00EC52B8">
        <w:rPr>
          <w:rFonts w:ascii="GHEA Grapalat" w:hAnsi="GHEA Grapalat" w:cs="Sylfaen"/>
          <w:sz w:val="19"/>
          <w:szCs w:val="19"/>
        </w:rPr>
        <w:t>Պարզաբանումչիտրամադրվում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եթեհարցումըդուրսէսույնհայտարարությանբովանդակությանշրջանակից։Ընդորում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մասնակիցըգրավործանուցվումէպարզաբանումչտրամադրելուհիմքերիմասին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հարցումըստանալուօրվանհաջորդողմեկօրացուցայինօրվաընթացքում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r w:rsidRPr="00EC52B8">
        <w:rPr>
          <w:rFonts w:ascii="GHEA Grapalat" w:hAnsi="GHEA Grapalat" w:cs="Arial Unicode"/>
          <w:sz w:val="19"/>
          <w:szCs w:val="19"/>
        </w:rPr>
        <w:t>հայտարարությանմեջ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կարողենկատարվելփոփոխություններ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ոփոխությունկատարելուօր</w:t>
      </w:r>
      <w:r w:rsidRPr="00EC52B8">
        <w:rPr>
          <w:rFonts w:ascii="GHEA Grapalat" w:hAnsi="GHEA Grapalat" w:cs="Sylfaen"/>
          <w:sz w:val="19"/>
          <w:szCs w:val="19"/>
        </w:rPr>
        <w:t>վանհաջո</w:t>
      </w:r>
      <w:r w:rsidRPr="00EC52B8">
        <w:rPr>
          <w:rFonts w:ascii="GHEA Grapalat" w:hAnsi="GHEA Grapalat" w:cs="Sylfaen"/>
          <w:sz w:val="19"/>
          <w:szCs w:val="19"/>
        </w:rPr>
        <w:lastRenderedPageBreak/>
        <w:t>րդողառաջինաշխատանքայինօրը</w:t>
      </w:r>
      <w:r w:rsidR="00804510" w:rsidRPr="00EC52B8">
        <w:rPr>
          <w:rFonts w:ascii="GHEA Grapalat" w:hAnsi="GHEA Grapalat" w:cs="Sylfaen"/>
          <w:sz w:val="19"/>
          <w:szCs w:val="19"/>
        </w:rPr>
        <w:t>գնումներըհամակարգողը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փոփոխությունկատարելումասինհայտարարություն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</w:p>
    <w:p w:rsidR="00566C9B" w:rsidRDefault="00566C9B" w:rsidP="00750E80">
      <w:pPr>
        <w:spacing w:after="0" w:line="240" w:lineRule="auto"/>
        <w:jc w:val="center"/>
        <w:rPr>
          <w:rFonts w:ascii="GHEA Grapalat" w:hAnsi="GHEA Grapalat" w:cs="Sylfaen"/>
          <w:b/>
          <w:sz w:val="19"/>
          <w:szCs w:val="19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 w:cs="Sylfaen"/>
          <w:b/>
          <w:sz w:val="19"/>
          <w:szCs w:val="19"/>
        </w:rPr>
        <w:t>ՀԱՅՏԸՆԵՐԿԱՅԱՑՆԵԼՈՒԿԱՐԳԸ</w:t>
      </w:r>
    </w:p>
    <w:p w:rsidR="008D1634" w:rsidRPr="00EC52B8" w:rsidRDefault="008D1634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Սույնընթացակարգինմասնակցելուհամար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/>
          <w:sz w:val="19"/>
          <w:szCs w:val="19"/>
        </w:rPr>
        <w:t>Նախաորակավորմանհ</w:t>
      </w:r>
      <w:r w:rsidRPr="00EC52B8">
        <w:rPr>
          <w:rFonts w:ascii="GHEA Grapalat" w:hAnsi="GHEA Grapalat" w:cs="Sylfaen"/>
          <w:sz w:val="19"/>
          <w:szCs w:val="19"/>
        </w:rPr>
        <w:t>այտըմասնակիցը</w:t>
      </w:r>
      <w:r w:rsidR="001C1073" w:rsidRPr="00EC52B8">
        <w:rPr>
          <w:rFonts w:ascii="GHEA Grapalat" w:hAnsi="GHEA Grapalat" w:cs="Sylfaen"/>
          <w:sz w:val="19"/>
          <w:szCs w:val="19"/>
        </w:rPr>
        <w:t>ներկայացնում է</w:t>
      </w:r>
      <w:r w:rsidRPr="00EC52B8">
        <w:rPr>
          <w:rFonts w:ascii="GHEA Grapalat" w:hAnsi="GHEA Grapalat"/>
          <w:sz w:val="19"/>
          <w:szCs w:val="19"/>
        </w:rPr>
        <w:t>փաստաթղթայինձևով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</w:rPr>
        <w:t>փակծրարով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>սոսնձված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/>
          <w:sz w:val="19"/>
          <w:szCs w:val="19"/>
        </w:rPr>
        <w:t>Ծրարիվրանախաորակավորմանհայտըկազմելուլեզվովնշվումեն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ՀայաստանիՀանրապետությանպաշտպանությաննախարարություն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B11B1D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ՊՆ ՆՏԱԴ-ՓՊՄԾՁԲ-</w:t>
      </w:r>
      <w:r w:rsidR="006653B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18/204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b/>
          <w:sz w:val="19"/>
          <w:szCs w:val="19"/>
        </w:rPr>
        <w:t>մասնակցիանվանումը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r w:rsidRPr="00EC52B8">
        <w:rPr>
          <w:rFonts w:ascii="GHEA Grapalat" w:hAnsi="GHEA Grapalat"/>
          <w:b/>
          <w:sz w:val="19"/>
          <w:szCs w:val="19"/>
        </w:rPr>
        <w:t>անունը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r w:rsidRPr="00EC52B8">
        <w:rPr>
          <w:rFonts w:ascii="GHEA Grapalat" w:hAnsi="GHEA Grapalat"/>
          <w:b/>
          <w:sz w:val="19"/>
          <w:szCs w:val="19"/>
        </w:rPr>
        <w:t>գտնվելուվայրըևհեռախոսահամարը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E75199" w:rsidRPr="00AE60F6" w:rsidRDefault="008D1634" w:rsidP="00E75199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F82E80">
        <w:rPr>
          <w:rFonts w:ascii="GHEA Grapalat" w:hAnsi="GHEA Grapalat" w:cs="Sylfaen"/>
          <w:color w:val="FF0000"/>
          <w:sz w:val="19"/>
          <w:szCs w:val="19"/>
        </w:rPr>
        <w:t xml:space="preserve">12. </w:t>
      </w:r>
      <w:r w:rsidR="00E75199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Փաստաթղթայինձևովնախաորակավորման</w:t>
      </w:r>
      <w:r w:rsidR="00E75199" w:rsidRPr="00F82E80">
        <w:rPr>
          <w:rFonts w:ascii="GHEA Grapalat" w:hAnsi="GHEA Grapalat" w:cs="Sylfaen"/>
          <w:color w:val="FF0000"/>
          <w:sz w:val="19"/>
          <w:szCs w:val="19"/>
          <w:lang w:val="ru-RU"/>
        </w:rPr>
        <w:t>հայտերը</w:t>
      </w:r>
      <w:r w:rsidR="00E75199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անհրաժեշտէներկայացնել</w:t>
      </w:r>
      <w:r w:rsidR="00E75199" w:rsidRPr="00F82E80">
        <w:rPr>
          <w:rFonts w:ascii="GHEA Grapalat" w:hAnsi="GHEA Grapalat"/>
          <w:color w:val="FF0000"/>
          <w:sz w:val="19"/>
          <w:szCs w:val="19"/>
          <w:lang w:val="es-ES"/>
        </w:rPr>
        <w:t>ՀՀՊՆգնումներիկազմակերպմանվարչություն</w:t>
      </w:r>
      <w:r w:rsidR="00E75199" w:rsidRPr="00F82E80">
        <w:rPr>
          <w:rFonts w:ascii="GHEA Grapalat" w:hAnsi="GHEA Grapalat"/>
          <w:color w:val="FF0000"/>
          <w:sz w:val="19"/>
          <w:szCs w:val="19"/>
        </w:rPr>
        <w:t xml:space="preserve">` </w:t>
      </w:r>
      <w:r w:rsidR="00E75199" w:rsidRPr="00F82E80">
        <w:rPr>
          <w:rFonts w:ascii="GHEA Grapalat" w:hAnsi="GHEA Grapalat"/>
          <w:color w:val="FF0000"/>
          <w:sz w:val="19"/>
          <w:szCs w:val="19"/>
          <w:lang w:val="es-ES"/>
        </w:rPr>
        <w:t>ք</w:t>
      </w:r>
      <w:r w:rsidR="00E75199" w:rsidRPr="00F82E80">
        <w:rPr>
          <w:rFonts w:ascii="GHEA Grapalat" w:hAnsi="GHEA Grapalat"/>
          <w:color w:val="FF0000"/>
          <w:sz w:val="19"/>
          <w:szCs w:val="19"/>
        </w:rPr>
        <w:t xml:space="preserve">. </w:t>
      </w:r>
      <w:r w:rsidR="00E75199" w:rsidRPr="00F82E80">
        <w:rPr>
          <w:rFonts w:ascii="GHEA Grapalat" w:hAnsi="GHEA Grapalat"/>
          <w:color w:val="FF0000"/>
          <w:sz w:val="19"/>
          <w:szCs w:val="19"/>
          <w:lang w:val="es-ES"/>
        </w:rPr>
        <w:t>Երևան</w:t>
      </w:r>
      <w:r w:rsidR="00E75199" w:rsidRPr="00F82E80">
        <w:rPr>
          <w:rFonts w:ascii="GHEA Grapalat" w:hAnsi="GHEA Grapalat"/>
          <w:color w:val="FF0000"/>
          <w:sz w:val="19"/>
          <w:szCs w:val="19"/>
        </w:rPr>
        <w:t xml:space="preserve">, </w:t>
      </w:r>
      <w:r w:rsidR="00E75199" w:rsidRPr="00F82E80">
        <w:rPr>
          <w:rFonts w:ascii="GHEA Grapalat" w:hAnsi="GHEA Grapalat"/>
          <w:color w:val="FF0000"/>
          <w:sz w:val="19"/>
          <w:szCs w:val="19"/>
          <w:lang w:val="es-ES"/>
        </w:rPr>
        <w:t>Բագրևանդի</w:t>
      </w:r>
      <w:r w:rsidR="00E75199" w:rsidRPr="00F82E80">
        <w:rPr>
          <w:rFonts w:ascii="GHEA Grapalat" w:hAnsi="GHEA Grapalat"/>
          <w:color w:val="FF0000"/>
          <w:sz w:val="19"/>
          <w:szCs w:val="19"/>
        </w:rPr>
        <w:t xml:space="preserve"> 5 </w:t>
      </w:r>
      <w:r w:rsidR="00E75199" w:rsidRPr="00F82E80">
        <w:rPr>
          <w:rFonts w:ascii="GHEA Grapalat" w:hAnsi="GHEA Grapalat"/>
          <w:color w:val="FF0000"/>
          <w:sz w:val="19"/>
          <w:szCs w:val="19"/>
          <w:lang w:val="es-ES"/>
        </w:rPr>
        <w:t>հասցեով</w:t>
      </w:r>
      <w:r w:rsidR="00E75199" w:rsidRPr="00F82E80">
        <w:rPr>
          <w:rFonts w:ascii="GHEA Grapalat" w:hAnsi="GHEA Grapalat"/>
          <w:color w:val="FF0000"/>
          <w:sz w:val="19"/>
          <w:szCs w:val="19"/>
        </w:rPr>
        <w:t xml:space="preserve">`  </w:t>
      </w:r>
      <w:r w:rsidR="00E75199" w:rsidRPr="00F82E80">
        <w:rPr>
          <w:rFonts w:ascii="GHEA Grapalat" w:hAnsi="GHEA Grapalat"/>
          <w:b/>
          <w:color w:val="FF0000"/>
          <w:sz w:val="19"/>
          <w:szCs w:val="19"/>
        </w:rPr>
        <w:t>№ 207</w:t>
      </w:r>
      <w:r w:rsidR="00E75199">
        <w:rPr>
          <w:rFonts w:ascii="GHEA Grapalat" w:hAnsi="GHEA Grapalat"/>
          <w:b/>
          <w:color w:val="FF0000"/>
          <w:sz w:val="19"/>
          <w:szCs w:val="19"/>
        </w:rPr>
        <w:t>0</w:t>
      </w:r>
      <w:r w:rsidR="00E75199"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սենյակ</w:t>
      </w:r>
      <w:r w:rsidR="00E75199" w:rsidRPr="00F82E80">
        <w:rPr>
          <w:rFonts w:ascii="GHEA Grapalat" w:hAnsi="GHEA Grapalat"/>
          <w:b/>
          <w:color w:val="FF0000"/>
          <w:sz w:val="19"/>
          <w:szCs w:val="19"/>
        </w:rPr>
        <w:t xml:space="preserve">, </w:t>
      </w:r>
      <w:r w:rsidR="00E75199" w:rsidRPr="00F82E80">
        <w:rPr>
          <w:rFonts w:ascii="GHEA Grapalat" w:hAnsi="GHEA Grapalat"/>
          <w:color w:val="FF0000"/>
          <w:sz w:val="19"/>
          <w:szCs w:val="19"/>
        </w:rPr>
        <w:t xml:space="preserve">գնումները համակարգող </w:t>
      </w:r>
      <w:r w:rsidR="00E75199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ՀՀՊՆ</w:t>
      </w:r>
      <w:r w:rsidR="00E75199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գնումներիկազմակերպման</w:t>
      </w:r>
      <w:r w:rsidR="00E75199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վարչության</w:t>
      </w:r>
      <w:r w:rsidR="00E75199" w:rsidRPr="00F82E80">
        <w:rPr>
          <w:rFonts w:ascii="GHEA Grapalat" w:hAnsi="GHEA Grapalat" w:cs="Sylfaen"/>
          <w:color w:val="FF0000"/>
          <w:sz w:val="19"/>
          <w:szCs w:val="19"/>
        </w:rPr>
        <w:t xml:space="preserve"> ԳԿ 1-ին բաժնի </w:t>
      </w:r>
      <w:r w:rsidR="00E75199">
        <w:rPr>
          <w:rFonts w:ascii="GHEA Grapalat" w:hAnsi="GHEA Grapalat" w:cs="Sylfaen"/>
          <w:color w:val="FF0000"/>
          <w:sz w:val="19"/>
          <w:szCs w:val="19"/>
        </w:rPr>
        <w:t xml:space="preserve">գլխավոր </w:t>
      </w:r>
      <w:r w:rsidR="00E75199" w:rsidRPr="00933C3E">
        <w:rPr>
          <w:rFonts w:ascii="GHEA Grapalat" w:hAnsi="GHEA Grapalat" w:cs="Sylfaen"/>
          <w:color w:val="FF0000"/>
        </w:rPr>
        <w:t>մասնագետ</w:t>
      </w:r>
      <w:r w:rsidR="00E75199" w:rsidRPr="00933C3E">
        <w:rPr>
          <w:rFonts w:ascii="GHEA Grapalat" w:hAnsi="GHEA Grapalat"/>
          <w:b/>
          <w:color w:val="FF0000"/>
          <w:lang w:val="es-ES"/>
        </w:rPr>
        <w:t>Ս. Ներսիսյանին: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bookmarkStart w:id="0" w:name="_GoBack"/>
      <w:bookmarkEnd w:id="0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Փաստաթղթայինձևովներկայացվածնախաորակավորման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գնումներըհամակարգողի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կողմիցգրանցվումենգրանցամատյանում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գրանցամատյանումնշելովգրանցմանհամարը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օրըևժամը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Մասնակցիպահանջով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դրամասինտրվումէ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հայտովներկայացնում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իրկողմիցհաստատվածնախաորակավորմանընթացակարգինմասնակցելուգրավորդիմում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իրկողմիցհաստատվածհայտարարություն՝սույնհայտարարությամբսահմանվածորակավորմանչափանիշիպահանջներինիրհամապատասխանությանմասին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համատեղգործունեությանպայմանագրիպատճենը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եթեմասնակիցներըսույնընթացակարգինմասնակցումենհամատեղգործունեությանկարգով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8D1634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Մասնակցիկողմիցներկայացվող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ներառվողբոլորփաստաթղթերըներկայացվումեն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նօրինակփաստաթղթերիփոխարենկարողեններկայացվելդրանցնոտարականկարգովվավերացվածօրինակները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ասնակիցըպահանջվողտեղեկություններըկարողէներկայացնել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առաջարկվողձևերիցտարբերվողայլձևերով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պահպանելովպահանջվողվավերապայմանները։</w:t>
      </w:r>
    </w:p>
    <w:p w:rsidR="00566C9B" w:rsidRPr="008D1634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8D1634">
        <w:rPr>
          <w:rFonts w:ascii="GHEA Grapalat" w:hAnsi="GHEA Grapalat"/>
          <w:b/>
          <w:i w:val="0"/>
          <w:sz w:val="19"/>
          <w:szCs w:val="19"/>
          <w:lang w:val="af-ZA"/>
        </w:rPr>
        <w:t>V.  ՆԱԽԱՈՐԱԿԱՎՈՐՄԱՆ ՀԱՅՏԵՐԻ ԲԱՑՈՒՄԸ</w:t>
      </w:r>
      <w:r w:rsidRPr="008D1634">
        <w:rPr>
          <w:rFonts w:ascii="GHEA Grapalat" w:hAnsi="GHEA Grapalat"/>
          <w:b/>
          <w:i w:val="0"/>
          <w:sz w:val="19"/>
          <w:szCs w:val="19"/>
          <w:lang w:val="hy-AM"/>
        </w:rPr>
        <w:t xml:space="preserve">, </w:t>
      </w:r>
      <w:r w:rsidRPr="008D1634">
        <w:rPr>
          <w:rFonts w:ascii="GHEA Grapalat" w:hAnsi="GHEA Grapalat"/>
          <w:b/>
          <w:i w:val="0"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ՆախաորակավորմանհայտերիգնահատումըտեղիկունենաՀՀպաշտպանությաննախարարությաննյութատեխնիկականապահովմանդեպարտամենտում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գնումներիհամակարգողիկողմից</w:t>
      </w:r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Նախաորակավորմանհայտարարությամբսահմանվածմասնակցությանիրավունքինևորակավորմանչափանիշներիններկայացվողպահանջներըբավարարելուդեպքում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նախաորակավորվածմասնակիցևկընդգրկվինախաորակավորվածմասնակիցներիցանկում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Գնմանգործընթացինհետագամասնակցությանիրավունքենստանումնախաորակավորվածմասնակիցներիցուցակումընդգրկվածմասնակիցները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իրականացվածգնահատմանարդյունքում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հայտումարձանագրվումենանհամապատասխանություններ՝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գնումներըհամակարգողը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մեկաշխատանքայինօրովկասեցնումէնիստը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նույնօրըդրամասինտեղեկացնումէ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ասնակցին՝առաջարկելովմինչևկասեցմանժամկետիավարտըշտկելանհամապատասխանությունը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EC52B8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րդկետովսահմանվածժամկետում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ասնակիցըշտկումէարձանագրվածանհամապատասխանությունը, ապավերջինիսհայտըգնահատվում է բավարար: Հակառակդեպքումհայտըգնահատվում է անբավարար և մերժվում է: </w:t>
      </w:r>
    </w:p>
    <w:p w:rsidR="002F36AF" w:rsidRPr="00EC52B8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Սույնհայտարարությամբսահմանվածչափանիշներինհամապատասխանողմասնակցինսահմանվածկարգովկառաջարկվիկնքել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ծառայություններիգնմանպետականգաղտնիքպարունակողփակպարբերականմրցույթիսկզբնականպայմանագիր: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en-US"/>
        </w:rPr>
        <w:t>20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.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ըչիկարողմասնակցել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նախաորակավորմանհայտերիգնահատման</w:t>
      </w:r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աշխատանքներին, եթենախաորակավորմանհայտերի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բացմաննիստ</w:t>
      </w:r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որվերջինիսկողմիցհիմնադրվածկամբաժնեմաս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կամիրմերձավորազգակցությամբկամխնամիությամբկապվածանձը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ինչպեսնաևամուսնուծնող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եղբայրկամքույր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կամայդանձիկողմիցհիմնադրվածկամբաժնեմաս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ունեցողկազմակերպությունըտվյալընթացակարգինմասնակցելուհամարներկայացրելէհայտ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Եթեառկաէսույն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ովնախատեսվածպայմանը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հայտերիբացմաննիստիցանմիջապեսհետո</w:t>
      </w:r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ընթացակարգիառնչությամբշահերիբախումունեցող</w:t>
      </w:r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գնումներիհամակարգողը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ինքնաբացարկէհայտնումընթացակարգից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8D1634" w:rsidRPr="004E33FE" w:rsidRDefault="00566C9B" w:rsidP="008D1634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D1634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8D1634" w:rsidRPr="004E33FE" w:rsidRDefault="008D1634" w:rsidP="008D1634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8D1634" w:rsidRPr="004E33FE" w:rsidRDefault="008D1634" w:rsidP="008D1634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8D1634" w:rsidRPr="004E33FE" w:rsidRDefault="008D1634" w:rsidP="008D1634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1634" w:rsidRPr="004E33FE" w:rsidRDefault="008D1634" w:rsidP="008D1634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8D1634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ՀՀՊՆ</w:t>
      </w:r>
      <w:r w:rsidR="008D1634">
        <w:rPr>
          <w:rFonts w:ascii="GHEA Grapalat" w:eastAsia="Times New Roman" w:hAnsi="GHEA Grapalat" w:cs="Times New Roman"/>
          <w:sz w:val="19"/>
          <w:szCs w:val="19"/>
          <w:lang w:val="es-ES"/>
        </w:rPr>
        <w:t>ԳԿ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</w:t>
      </w:r>
      <w:r w:rsidR="0023491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0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8D163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ՍրբուհիՆերսիսյանին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7" w:history="1">
        <w:r w:rsidR="008D1634" w:rsidRPr="0080464E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s.nersisyan@mil.am</w:t>
        </w:r>
      </w:hyperlink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E502F" w:rsidRDefault="00CE502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E502F" w:rsidRDefault="00CE502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ՆՏԱԴ-ՓՊՄԾՁԲ-</w:t>
      </w:r>
      <w:r w:rsidR="006653B9">
        <w:rPr>
          <w:rFonts w:ascii="GHEA Grapalat" w:hAnsi="GHEA Grapalat"/>
          <w:lang w:val="es-ES"/>
        </w:rPr>
        <w:t>18/204</w:t>
      </w:r>
      <w:r w:rsidRPr="0070758B">
        <w:rPr>
          <w:rFonts w:ascii="GHEA Grapalat" w:hAnsi="GHEA Grapalat"/>
          <w:lang w:val="es-ES"/>
        </w:rPr>
        <w:t>»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ծածկագրովփակ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մրցույթինախաորակավորման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նախաորակավորմանընթացակարգինմասնակցելու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 է, որցանկությունունիմասնակցել ՀՀ պաշտպանությաննախարարությանկողմից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«</w:t>
      </w:r>
      <w:r w:rsidR="00B11B1D"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ՀՀ ՊՆ ՆՏԱԴ-ՓՊՄԾՁԲ-</w:t>
      </w:r>
      <w:r w:rsidR="006653B9">
        <w:rPr>
          <w:rFonts w:ascii="GHEA Grapalat" w:eastAsia="Times New Roman" w:hAnsi="GHEA Grapalat" w:cs="Times New Roman"/>
          <w:sz w:val="20"/>
          <w:szCs w:val="20"/>
          <w:lang w:val="es-ES"/>
        </w:rPr>
        <w:t>18/204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ծածկագրովփակպարբերական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մրցույթինախաորակավորմանընթացակարգին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պահանջներինհամապատասխաններկայացնում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հարկվճարողիհաշվառմանհամարն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հարկիվճարողիհաշվառմանհամարը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իէլեկտրոնայինփոստիհասցենէ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էլեկտրոնայինփոստիհասցեն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ասնակցիանվանումը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ՆՏԱԴ-ՓՊՄԾՁԲ-</w:t>
      </w:r>
      <w:r w:rsidR="006653B9">
        <w:rPr>
          <w:rFonts w:ascii="GHEA Grapalat" w:hAnsi="GHEA Grapalat"/>
          <w:lang w:val="es-ES"/>
        </w:rPr>
        <w:t>18/204</w:t>
      </w:r>
      <w:r w:rsidRPr="0070758B">
        <w:rPr>
          <w:rFonts w:ascii="GHEA Grapalat" w:hAnsi="GHEA Grapalat"/>
          <w:lang w:val="es-ES"/>
        </w:rPr>
        <w:t>»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ծածկագրովփակ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մրցույթինախաորակավորման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ասնագիտականգործունեությանհամապատասխանությունպայմանագրով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նախատեսվածգործունեությանը»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հայտըներկայացնելու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տարվաևդրաննախորդողերեքտարիներիընթացքում</w:t>
      </w:r>
      <w:r>
        <w:rPr>
          <w:rFonts w:ascii="GHEA Grapalat" w:hAnsi="GHEA Grapalat" w:cs="Sylfaen"/>
          <w:sz w:val="20"/>
          <w:szCs w:val="20"/>
        </w:rPr>
        <w:t>մատուցել է ներքոհիշյալծառայությունները</w:t>
      </w:r>
      <w:r w:rsidR="004803EF" w:rsidRPr="007337EC">
        <w:rPr>
          <w:rFonts w:ascii="GHEA Grapalat" w:hAnsi="GHEA Grapalat" w:cs="Sylfaen"/>
          <w:sz w:val="20"/>
          <w:szCs w:val="20"/>
        </w:rPr>
        <w:t xml:space="preserve">: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ասնակցիանվանումը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360" w:rsidRDefault="000F0360" w:rsidP="00566C9B">
      <w:pPr>
        <w:spacing w:after="0" w:line="240" w:lineRule="auto"/>
      </w:pPr>
      <w:r>
        <w:separator/>
      </w:r>
    </w:p>
  </w:endnote>
  <w:endnote w:type="continuationSeparator" w:id="1">
    <w:p w:rsidR="000F0360" w:rsidRDefault="000F0360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360" w:rsidRDefault="000F0360" w:rsidP="00566C9B">
      <w:pPr>
        <w:spacing w:after="0" w:line="240" w:lineRule="auto"/>
      </w:pPr>
      <w:r>
        <w:separator/>
      </w:r>
    </w:p>
  </w:footnote>
  <w:footnote w:type="continuationSeparator" w:id="1">
    <w:p w:rsidR="000F0360" w:rsidRDefault="000F0360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0F0360"/>
    <w:rsid w:val="00150242"/>
    <w:rsid w:val="0018415B"/>
    <w:rsid w:val="001A11EB"/>
    <w:rsid w:val="001C1073"/>
    <w:rsid w:val="001C2834"/>
    <w:rsid w:val="001D131C"/>
    <w:rsid w:val="001D753B"/>
    <w:rsid w:val="002119F2"/>
    <w:rsid w:val="00234919"/>
    <w:rsid w:val="00246629"/>
    <w:rsid w:val="00266B16"/>
    <w:rsid w:val="002711F1"/>
    <w:rsid w:val="002F36AF"/>
    <w:rsid w:val="00355E97"/>
    <w:rsid w:val="0035723D"/>
    <w:rsid w:val="00380CFA"/>
    <w:rsid w:val="0038136E"/>
    <w:rsid w:val="00383559"/>
    <w:rsid w:val="003B2007"/>
    <w:rsid w:val="003C0DB1"/>
    <w:rsid w:val="003C6FB6"/>
    <w:rsid w:val="003E2067"/>
    <w:rsid w:val="00416074"/>
    <w:rsid w:val="0042783E"/>
    <w:rsid w:val="00463F74"/>
    <w:rsid w:val="004803EF"/>
    <w:rsid w:val="004D0E9A"/>
    <w:rsid w:val="004F7668"/>
    <w:rsid w:val="00527896"/>
    <w:rsid w:val="0053722D"/>
    <w:rsid w:val="00551D6D"/>
    <w:rsid w:val="0055301C"/>
    <w:rsid w:val="00566C9B"/>
    <w:rsid w:val="005812DA"/>
    <w:rsid w:val="00584768"/>
    <w:rsid w:val="005A07B3"/>
    <w:rsid w:val="005A1CE3"/>
    <w:rsid w:val="005B0F22"/>
    <w:rsid w:val="005C765F"/>
    <w:rsid w:val="005E5102"/>
    <w:rsid w:val="005E5D1D"/>
    <w:rsid w:val="006314A2"/>
    <w:rsid w:val="0063344B"/>
    <w:rsid w:val="00636B4A"/>
    <w:rsid w:val="006653B9"/>
    <w:rsid w:val="006818F8"/>
    <w:rsid w:val="0070758B"/>
    <w:rsid w:val="007337EC"/>
    <w:rsid w:val="0075044F"/>
    <w:rsid w:val="00750E80"/>
    <w:rsid w:val="00762976"/>
    <w:rsid w:val="0076475E"/>
    <w:rsid w:val="00765C21"/>
    <w:rsid w:val="00780570"/>
    <w:rsid w:val="00782D8C"/>
    <w:rsid w:val="007E17B6"/>
    <w:rsid w:val="007E5590"/>
    <w:rsid w:val="007E72C7"/>
    <w:rsid w:val="00804510"/>
    <w:rsid w:val="00826883"/>
    <w:rsid w:val="00861414"/>
    <w:rsid w:val="00877CC8"/>
    <w:rsid w:val="0088588C"/>
    <w:rsid w:val="00886BF9"/>
    <w:rsid w:val="00887DC5"/>
    <w:rsid w:val="008A1C59"/>
    <w:rsid w:val="008D1634"/>
    <w:rsid w:val="008D7984"/>
    <w:rsid w:val="008E0395"/>
    <w:rsid w:val="008E3050"/>
    <w:rsid w:val="00903AB2"/>
    <w:rsid w:val="009545C6"/>
    <w:rsid w:val="0095798B"/>
    <w:rsid w:val="009C3010"/>
    <w:rsid w:val="009C40E7"/>
    <w:rsid w:val="00A05014"/>
    <w:rsid w:val="00A260B4"/>
    <w:rsid w:val="00A50FC1"/>
    <w:rsid w:val="00A67990"/>
    <w:rsid w:val="00A7142C"/>
    <w:rsid w:val="00A91B43"/>
    <w:rsid w:val="00AA10C9"/>
    <w:rsid w:val="00AE60F6"/>
    <w:rsid w:val="00AF6971"/>
    <w:rsid w:val="00B11B1D"/>
    <w:rsid w:val="00B41343"/>
    <w:rsid w:val="00B41C6A"/>
    <w:rsid w:val="00B602CD"/>
    <w:rsid w:val="00BB2F44"/>
    <w:rsid w:val="00BD3C28"/>
    <w:rsid w:val="00BD7F22"/>
    <w:rsid w:val="00BF794A"/>
    <w:rsid w:val="00C232CF"/>
    <w:rsid w:val="00C566E7"/>
    <w:rsid w:val="00C5716B"/>
    <w:rsid w:val="00C75773"/>
    <w:rsid w:val="00CC045D"/>
    <w:rsid w:val="00CE502F"/>
    <w:rsid w:val="00D02B96"/>
    <w:rsid w:val="00D671EE"/>
    <w:rsid w:val="00D703CE"/>
    <w:rsid w:val="00D80A89"/>
    <w:rsid w:val="00D825C1"/>
    <w:rsid w:val="00D91A24"/>
    <w:rsid w:val="00D94D66"/>
    <w:rsid w:val="00DC4010"/>
    <w:rsid w:val="00DD58B7"/>
    <w:rsid w:val="00E448A8"/>
    <w:rsid w:val="00E75199"/>
    <w:rsid w:val="00EA4DBC"/>
    <w:rsid w:val="00EA7888"/>
    <w:rsid w:val="00EC52B8"/>
    <w:rsid w:val="00ED756F"/>
    <w:rsid w:val="00EE3584"/>
    <w:rsid w:val="00F10491"/>
    <w:rsid w:val="00F94910"/>
    <w:rsid w:val="00F96A87"/>
    <w:rsid w:val="00F97AB7"/>
    <w:rsid w:val="00FA069D"/>
    <w:rsid w:val="00FB60DB"/>
    <w:rsid w:val="00FD4634"/>
    <w:rsid w:val="00FD5D98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aghaq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2017-10-04T12:50:00Z</cp:lastPrinted>
  <dcterms:created xsi:type="dcterms:W3CDTF">2017-08-07T06:12:00Z</dcterms:created>
  <dcterms:modified xsi:type="dcterms:W3CDTF">2021-12-07T10:08:00Z</dcterms:modified>
</cp:coreProperties>
</file>