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30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ок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тября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334BBA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ГХАШДЗБ-2017-</w:t>
      </w:r>
      <w:r w:rsidR="00334BBA" w:rsidRPr="00E47340">
        <w:rPr>
          <w:rFonts w:ascii="GHEA Grapalat" w:hAnsi="GHEA Grapalat"/>
          <w:i w:val="0"/>
          <w:sz w:val="24"/>
          <w:szCs w:val="24"/>
          <w:lang w:val="ru-RU"/>
        </w:rPr>
        <w:t>Ш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А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/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5М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E54E65" w:rsidRPr="00A63989" w:rsidRDefault="00E54E65" w:rsidP="00E54E65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334BBA" w:rsidRPr="00334BBA">
        <w:rPr>
          <w:rFonts w:ascii="GHEA Grapalat" w:hAnsi="GHEA Grapalat"/>
          <w:b/>
          <w:i w:val="0"/>
          <w:sz w:val="24"/>
          <w:szCs w:val="24"/>
          <w:lang w:val="ru-RU"/>
        </w:rPr>
        <w:t>строительных работ</w:t>
      </w:r>
      <w:r w:rsidRPr="00E47340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E54E65" w:rsidRPr="00A63989" w:rsidRDefault="00E54E65" w:rsidP="00E54E65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D70DB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Н. Едигарян.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</w:t>
      </w:r>
      <w:r w:rsidRPr="00E54E6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59-60-39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E54E65" w:rsidRPr="00A63989" w:rsidRDefault="00E54E65" w:rsidP="00E54E65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E4734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F75E0D" w:rsidRDefault="00F75E0D"/>
    <w:sectPr w:rsidR="00F75E0D" w:rsidSect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54E65"/>
    <w:rsid w:val="00334BBA"/>
    <w:rsid w:val="008F11E7"/>
    <w:rsid w:val="009D70DB"/>
    <w:rsid w:val="00E54E65"/>
    <w:rsid w:val="00F75E0D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54E6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54E6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2017-09-28T11:43:00Z</dcterms:created>
  <dcterms:modified xsi:type="dcterms:W3CDTF">2017-10-30T12:54:00Z</dcterms:modified>
</cp:coreProperties>
</file>