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93C2" w14:textId="77777777" w:rsidR="00E24F39" w:rsidRPr="00E24F39" w:rsidRDefault="00E24F39" w:rsidP="00E24F3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E24F39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E24F39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E24F39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E24F39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E24F39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E24F39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E24F39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506F6AB1" w14:textId="77777777" w:rsidR="00E24F39" w:rsidRPr="00E24F39" w:rsidRDefault="00E24F39" w:rsidP="00E24F3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E24F39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E24F39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E24F39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 xml:space="preserve"> 04/02/2026</w:t>
      </w:r>
    </w:p>
    <w:p w14:paraId="5D5CF3D2" w14:textId="77777777" w:rsidR="00E24F39" w:rsidRPr="00E24F39" w:rsidRDefault="00E24F39" w:rsidP="00E24F3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E24F39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5202B23A" w14:textId="77777777" w:rsidR="00E24F39" w:rsidRPr="00E24F39" w:rsidRDefault="00E24F39" w:rsidP="00E24F39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E24F39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E24F39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4C7C4D56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E24F39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57AFB628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0AEBF52D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E24F39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E24F39">
        <w:rPr>
          <w:rFonts w:ascii="Arial" w:eastAsia="Times New Roman" w:hAnsi="Arial" w:cs="Arial"/>
          <w:color w:val="000000"/>
          <w:sz w:val="18"/>
          <w:szCs w:val="18"/>
        </w:rPr>
        <w:t>ԵՐՄԵԴ</w:t>
      </w:r>
      <w:r w:rsidRPr="00E24F39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19296E41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5778236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34CB4036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24F39">
        <w:rPr>
          <w:rFonts w:ascii="Noto Sans" w:eastAsia="Times New Roman" w:hAnsi="Noto Sans" w:cs="Noto Sans"/>
          <w:color w:val="000000"/>
          <w:sz w:val="18"/>
          <w:szCs w:val="18"/>
        </w:rPr>
        <w:t>Yermed</w:t>
      </w:r>
      <w:proofErr w:type="spellEnd"/>
      <w:r w:rsidRPr="00E24F39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E24F39">
        <w:rPr>
          <w:rFonts w:ascii="Noto Sans" w:eastAsia="Times New Roman" w:hAnsi="Noto Sans" w:cs="Noto Sans"/>
          <w:color w:val="000000"/>
          <w:sz w:val="18"/>
          <w:szCs w:val="18"/>
        </w:rPr>
        <w:t>llc</w:t>
      </w:r>
      <w:proofErr w:type="spellEnd"/>
    </w:p>
    <w:p w14:paraId="746B3559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FEAA073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771A4533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E24F39">
        <w:rPr>
          <w:rFonts w:ascii="Noto Sans" w:eastAsia="Times New Roman" w:hAnsi="Noto Sans" w:cs="Noto Sans"/>
          <w:color w:val="000000"/>
          <w:sz w:val="18"/>
          <w:szCs w:val="18"/>
        </w:rPr>
        <w:t>38.110.01821</w:t>
      </w:r>
    </w:p>
    <w:p w14:paraId="45DDA52C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3165556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6AD4A19A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E24F39">
        <w:rPr>
          <w:rFonts w:ascii="Noto Sans" w:eastAsia="Times New Roman" w:hAnsi="Noto Sans" w:cs="Noto Sans"/>
          <w:color w:val="000000"/>
          <w:sz w:val="18"/>
          <w:szCs w:val="18"/>
        </w:rPr>
        <w:t>11/07/2008</w:t>
      </w:r>
    </w:p>
    <w:p w14:paraId="7A487738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9129D4C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6A29537C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E74A4F2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6BE8BD24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5AACF720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E24F39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E24F39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E24F39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389179F1" w14:textId="77777777" w:rsidR="00E24F39" w:rsidRPr="00E24F39" w:rsidRDefault="00E24F39" w:rsidP="00E24F3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E24F39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E24F39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E24F39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3FFFDAEF" w14:textId="77777777" w:rsidR="00E24F39" w:rsidRPr="00E24F39" w:rsidRDefault="00E24F39" w:rsidP="00E24F39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E24F39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E24F39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557EC822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E24F39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E24F39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E24F39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7BD09ADD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0CD1FA50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000000"/>
          <w:sz w:val="18"/>
          <w:szCs w:val="18"/>
        </w:rPr>
        <w:t>Երեմ</w:t>
      </w:r>
      <w:proofErr w:type="spellEnd"/>
    </w:p>
    <w:p w14:paraId="6E7C836F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9CB3841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4439E410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000000"/>
          <w:sz w:val="18"/>
          <w:szCs w:val="18"/>
        </w:rPr>
        <w:t>Ադամյան</w:t>
      </w:r>
      <w:proofErr w:type="spellEnd"/>
    </w:p>
    <w:p w14:paraId="7BEF1A77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ED75393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45ADEA1F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3BFB782F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93E8382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2E47E34D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E24F39">
        <w:rPr>
          <w:rFonts w:ascii="Noto Sans" w:eastAsia="Times New Roman" w:hAnsi="Noto Sans" w:cs="Noto Sans"/>
          <w:color w:val="000000"/>
          <w:sz w:val="18"/>
          <w:szCs w:val="18"/>
        </w:rPr>
        <w:t>07/11/2008</w:t>
      </w:r>
    </w:p>
    <w:p w14:paraId="16E7C8FB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E24F39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E24F39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E24F39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E24F39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E24F39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E24F39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E24F39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55160E03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4A247835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74247167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51F68B1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110013EA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E24F39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4B08A1AB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52EF6AA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15B98D8F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000000"/>
          <w:sz w:val="18"/>
          <w:szCs w:val="18"/>
        </w:rPr>
        <w:lastRenderedPageBreak/>
        <w:t>Ուղղակի</w:t>
      </w:r>
      <w:proofErr w:type="spellEnd"/>
      <w:r w:rsidRPr="00E24F39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E24F39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0A786A77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E24F39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898FD98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&lt;b&gt;3. &lt;/b&gt;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E24F39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30458A0F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76CE331E" w14:textId="77777777" w:rsidR="00E24F39" w:rsidRPr="00E24F39" w:rsidRDefault="00E24F39" w:rsidP="00E24F3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E24F39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E24F39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E24F39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5F8C05A6" w14:textId="77777777" w:rsidR="00E24F39" w:rsidRPr="00E24F39" w:rsidRDefault="00E24F39" w:rsidP="00E24F39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E24F39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E24F39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19C1A5F8" w14:textId="77777777" w:rsidR="00E24F39" w:rsidRPr="00E24F39" w:rsidRDefault="00E24F39" w:rsidP="00E24F3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E24F39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E24F39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E24F39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3508EDD1" w14:textId="77777777" w:rsidR="00E24F39" w:rsidRPr="00E24F39" w:rsidRDefault="00E24F39" w:rsidP="00E24F39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E24F39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E24F39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329832C8" w14:textId="77777777" w:rsidR="00E24F39" w:rsidRPr="00E24F39" w:rsidRDefault="00E24F39" w:rsidP="00E24F3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E24F39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13E103EB" w14:textId="77777777" w:rsidR="00E24F39" w:rsidRPr="00E24F39" w:rsidRDefault="00E24F39" w:rsidP="00E24F39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E24F39">
        <w:rPr>
          <w:rFonts w:ascii="Arial" w:eastAsia="Times New Roman" w:hAnsi="Arial" w:cs="Arial"/>
          <w:color w:val="2D4454"/>
          <w:sz w:val="18"/>
          <w:szCs w:val="18"/>
        </w:rPr>
        <w:t>Նշումներ</w:t>
      </w:r>
      <w:proofErr w:type="spellEnd"/>
    </w:p>
    <w:p w14:paraId="3A5FF902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proofErr w:type="spellStart"/>
      <w:r w:rsidRPr="00E24F39">
        <w:rPr>
          <w:rFonts w:ascii="Arial" w:eastAsia="Times New Roman" w:hAnsi="Arial" w:cs="Arial"/>
          <w:b/>
          <w:bCs/>
          <w:color w:val="009CBA"/>
          <w:sz w:val="21"/>
          <w:szCs w:val="21"/>
        </w:rPr>
        <w:t>Նշումներ</w:t>
      </w:r>
      <w:proofErr w:type="spellEnd"/>
    </w:p>
    <w:p w14:paraId="681495FE" w14:textId="041866D5" w:rsidR="00CB2663" w:rsidRDefault="00CB2663"/>
    <w:p w14:paraId="1C09519E" w14:textId="77777777" w:rsidR="00E24F39" w:rsidRPr="00E24F39" w:rsidRDefault="00E24F39" w:rsidP="00E24F39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E24F39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E24F39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E24F39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E24F39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E24F39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E24F39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E24F39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2C8CDC43" w14:textId="77777777" w:rsidR="00E24F39" w:rsidRPr="00E24F39" w:rsidRDefault="00E24F39" w:rsidP="00E24F39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E24F39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E24F39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E24F39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E24F39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E24F39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E24F39">
        <w:rPr>
          <w:rFonts w:ascii="Georgia" w:eastAsia="Times New Roman" w:hAnsi="Georgia" w:cs="Times New Roman"/>
          <w:color w:val="000000"/>
          <w:sz w:val="24"/>
          <w:szCs w:val="24"/>
        </w:rPr>
        <w:t xml:space="preserve"> 11/01/2026</w:t>
      </w:r>
    </w:p>
    <w:p w14:paraId="32EAC338" w14:textId="77777777" w:rsidR="00E24F39" w:rsidRPr="00E24F39" w:rsidRDefault="00E24F39" w:rsidP="00E24F39">
      <w:pPr>
        <w:shd w:val="clear" w:color="auto" w:fill="FFFFFF"/>
        <w:spacing w:after="0" w:line="240" w:lineRule="auto"/>
        <w:rPr>
          <w:rFonts w:ascii="DejaVuSans" w:eastAsia="DejaVuSans" w:hAnsi="Times New Roman" w:cs="Times New Roman"/>
          <w:b/>
          <w:bCs/>
          <w:color w:val="2D4454"/>
          <w:sz w:val="24"/>
          <w:szCs w:val="24"/>
        </w:rPr>
      </w:pPr>
      <w:proofErr w:type="spellStart"/>
      <w:r w:rsidRPr="00E24F39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734FFCC1" w14:textId="77777777" w:rsidR="00E24F39" w:rsidRPr="00E24F39" w:rsidRDefault="00E24F39" w:rsidP="00E24F39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E24F39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Կազմակերպության</w:t>
      </w:r>
      <w:proofErr w:type="spellEnd"/>
      <w:r w:rsidRPr="00E24F39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տվյալներ</w:t>
      </w:r>
      <w:proofErr w:type="spellEnd"/>
    </w:p>
    <w:p w14:paraId="5EA067E8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ՏՎՅԱԼՆԵՐ</w:t>
      </w:r>
    </w:p>
    <w:p w14:paraId="4ABF096B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1DD93B6B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«ՀԵԼԹԻ</w:t>
      </w:r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 xml:space="preserve"> </w:t>
      </w:r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ԼԱՅՖ»</w:t>
      </w:r>
    </w:p>
    <w:p w14:paraId="31C940C7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24F39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10C6E205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*</w:t>
      </w:r>
    </w:p>
    <w:p w14:paraId="38D9977C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"HEALTHY LIFE"</w:t>
      </w:r>
    </w:p>
    <w:p w14:paraId="0E953655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24F39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0D521CE5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222B31A5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77.110.1488295</w:t>
      </w:r>
    </w:p>
    <w:p w14:paraId="6E1C401C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24F39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4CD462B7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0ADBD9BB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30/10/2025</w:t>
      </w:r>
    </w:p>
    <w:p w14:paraId="2F3C86D8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24F39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400DD0E1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6D131B5B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24F39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110D672D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է</w:t>
      </w:r>
    </w:p>
    <w:p w14:paraId="4A3BD93A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Ոչ</w:t>
      </w:r>
      <w:proofErr w:type="spellEnd"/>
    </w:p>
    <w:p w14:paraId="75096287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ՀԱՏՈՒԿ</w:t>
      </w: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ՄԱՍՆԱԿՑՈՒԹՅՈՒՆ</w:t>
      </w:r>
    </w:p>
    <w:p w14:paraId="0415DACB" w14:textId="77777777" w:rsidR="00E24F39" w:rsidRPr="00E24F39" w:rsidRDefault="00E24F39" w:rsidP="00E24F39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E24F39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Իրական</w:t>
      </w:r>
      <w:proofErr w:type="spellEnd"/>
      <w:r w:rsidRPr="00E24F39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շահառուներ</w:t>
      </w:r>
      <w:proofErr w:type="spellEnd"/>
    </w:p>
    <w:p w14:paraId="55775A10" w14:textId="77777777" w:rsidR="00E24F39" w:rsidRPr="00E24F39" w:rsidRDefault="00E24F39" w:rsidP="00E24F39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E24F39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Իրական</w:t>
      </w:r>
      <w:proofErr w:type="spellEnd"/>
      <w:r w:rsidRPr="00E24F39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շահառուներ</w:t>
      </w:r>
      <w:proofErr w:type="spellEnd"/>
    </w:p>
    <w:p w14:paraId="5EC6FA1E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ԱՆՁՆԱԿԱՆ</w:t>
      </w: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ՏՎՅԱԼՆԵՐ</w:t>
      </w:r>
    </w:p>
    <w:p w14:paraId="127636BB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5C1E51A3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Գագիկ</w:t>
      </w:r>
      <w:proofErr w:type="spellEnd"/>
    </w:p>
    <w:p w14:paraId="122ED2C7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24F39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2958D9BC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50A5D90A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Առաքելյան</w:t>
      </w:r>
      <w:proofErr w:type="spellEnd"/>
    </w:p>
    <w:p w14:paraId="05842303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24F39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393FDD6B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621E159B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Հայաստան</w:t>
      </w:r>
      <w:proofErr w:type="spellEnd"/>
    </w:p>
    <w:p w14:paraId="372FBCF1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24F39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3D703707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Իրական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14FBDA57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10/30/2025</w:t>
      </w:r>
    </w:p>
    <w:p w14:paraId="1CF40A6F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lastRenderedPageBreak/>
        <w:t>ԻՐԱԿԱՆ</w:t>
      </w: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ՇԱՀԱՌՈՒ</w:t>
      </w: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ՀԱՆԴԻՍԱՆԱԼՈՒ</w:t>
      </w: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E24F39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ՀԻՄՔ</w:t>
      </w:r>
    </w:p>
    <w:p w14:paraId="5940FB18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կերպով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է</w:t>
      </w:r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տվյալ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անձի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ձայնի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տվող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փայերի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) 20 </w:t>
      </w:r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և</w:t>
      </w:r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ավելի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կերպով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ունի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20 </w:t>
      </w:r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և</w:t>
      </w:r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ավելի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տոկոս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անձի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*</w:t>
      </w:r>
    </w:p>
    <w:p w14:paraId="2CEDBF75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Այո</w:t>
      </w:r>
      <w:proofErr w:type="spellEnd"/>
    </w:p>
    <w:p w14:paraId="37D6A905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24F39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411F0387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չափ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, %</w:t>
      </w:r>
    </w:p>
    <w:p w14:paraId="5DD71C4C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100 %</w:t>
      </w:r>
    </w:p>
    <w:p w14:paraId="206569AD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E24F39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6D93D20F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Իրական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ունի</w:t>
      </w:r>
      <w:proofErr w:type="spellEnd"/>
      <w:r w:rsidRPr="00E24F39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՝</w:t>
      </w:r>
    </w:p>
    <w:p w14:paraId="5AEE7CD6" w14:textId="77777777" w:rsidR="00E24F39" w:rsidRPr="00E24F39" w:rsidRDefault="00E24F39" w:rsidP="00E24F39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Ուղղակի</w:t>
      </w:r>
      <w:proofErr w:type="spellEnd"/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մասնակցություն</w:t>
      </w:r>
      <w:proofErr w:type="spellEnd"/>
    </w:p>
    <w:p w14:paraId="0A381375" w14:textId="77777777" w:rsidR="00E24F39" w:rsidRPr="00E24F39" w:rsidRDefault="00E24F39" w:rsidP="00E24F39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E24F39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Ցուցակված</w:t>
      </w:r>
      <w:proofErr w:type="spellEnd"/>
      <w:r w:rsidRPr="00E24F39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մասնակիցներ</w:t>
      </w:r>
      <w:proofErr w:type="spellEnd"/>
    </w:p>
    <w:p w14:paraId="244F30B2" w14:textId="77777777" w:rsidR="00E24F39" w:rsidRPr="00E24F39" w:rsidRDefault="00E24F39" w:rsidP="00E24F39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E24F39">
        <w:rPr>
          <w:rFonts w:ascii="DejaVuSans" w:eastAsia="DejaVuSans" w:hAnsi="Times New Roman" w:cs="Times New Roman" w:hint="eastAsia"/>
          <w:color w:val="2D4454"/>
          <w:sz w:val="18"/>
          <w:szCs w:val="18"/>
        </w:rPr>
        <w:t>Ցուցակված</w:t>
      </w:r>
      <w:proofErr w:type="spellEnd"/>
      <w:r w:rsidRPr="00E24F39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մասնակիցներ</w:t>
      </w:r>
      <w:proofErr w:type="spellEnd"/>
    </w:p>
    <w:p w14:paraId="0D0BD131" w14:textId="77777777" w:rsidR="00E24F39" w:rsidRPr="00E24F39" w:rsidRDefault="00E24F39" w:rsidP="00E24F39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E24F39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Միջանկյալ</w:t>
      </w:r>
      <w:proofErr w:type="spellEnd"/>
      <w:r w:rsidRPr="00E24F39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E24F39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372DACEE" w14:textId="77777777" w:rsidR="00E24F39" w:rsidRDefault="00E24F39"/>
    <w:sectPr w:rsidR="00E24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B9"/>
    <w:rsid w:val="005048B9"/>
    <w:rsid w:val="005751D9"/>
    <w:rsid w:val="00CB2663"/>
    <w:rsid w:val="00E2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FFD3"/>
  <w15:chartTrackingRefBased/>
  <w15:docId w15:val="{F25783AD-3B0B-4BD0-81FF-C770EB7A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8659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90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5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5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7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6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77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7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1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2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2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8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991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95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3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3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5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44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34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0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0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37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9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31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9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1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7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8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6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6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090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8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575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1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576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31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960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22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8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93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2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5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0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8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2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81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2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4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8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7251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820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14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17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37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0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2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8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7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07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6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4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7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2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1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239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44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068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730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15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8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3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0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05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8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90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96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3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5512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950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680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6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4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69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1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2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2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05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2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80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4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36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37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7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931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82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631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79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51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8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8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63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2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63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5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2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95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6445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3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344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8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49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892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1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5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81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6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93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1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0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5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27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2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9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9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3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1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2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0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7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5077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0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11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9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7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9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6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8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9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42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39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8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13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67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1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3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94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4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6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2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9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97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2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5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4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6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76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374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620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2026-01-13T06:47:00Z</dcterms:created>
  <dcterms:modified xsi:type="dcterms:W3CDTF">2026-06-01T12:27:00Z</dcterms:modified>
</cp:coreProperties>
</file>