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DA2221">
        <w:rPr>
          <w:rFonts w:ascii="GHEA Grapalat" w:hAnsi="GHEA Grapalat"/>
          <w:color w:val="030921"/>
          <w:shd w:val="clear" w:color="auto" w:fill="FEFEFE"/>
          <w:lang w:val="en-US"/>
        </w:rPr>
        <w:t>Փ</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8A3CE1">
      <w:pPr>
        <w:pStyle w:val="a3"/>
        <w:spacing w:line="240" w:lineRule="auto"/>
        <w:jc w:val="center"/>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DA2221">
        <w:rPr>
          <w:rFonts w:ascii="GHEA Grapalat" w:hAnsi="GHEA Grapalat" w:cs="Arial"/>
          <w:bCs/>
          <w:lang w:val="af-ZA"/>
        </w:rPr>
        <w:t>Փանիկի</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xml:space="preserve">, որը գտնվում </w:t>
      </w:r>
      <w:r w:rsidRPr="000E4B0B">
        <w:rPr>
          <w:rFonts w:ascii="GHEA Grapalat" w:hAnsi="GHEA Grapalat"/>
          <w:i w:val="0"/>
          <w:lang w:val="af-ZA"/>
        </w:rPr>
        <w:t>է</w:t>
      </w:r>
      <w:r w:rsidR="00B375A2" w:rsidRPr="000E4B0B">
        <w:rPr>
          <w:rFonts w:ascii="GHEA Grapalat" w:hAnsi="GHEA Grapalat"/>
          <w:i w:val="0"/>
          <w:lang w:val="af-ZA"/>
        </w:rPr>
        <w:t xml:space="preserve"> </w:t>
      </w:r>
      <w:r w:rsidR="00FC63EE" w:rsidRPr="000E4B0B">
        <w:rPr>
          <w:rFonts w:ascii="GHEA Grapalat" w:hAnsi="GHEA Grapalat"/>
          <w:i w:val="0"/>
          <w:u w:val="single"/>
          <w:lang w:val="hy-AM"/>
        </w:rPr>
        <w:t xml:space="preserve"> </w:t>
      </w:r>
      <w:r w:rsidR="00DA2221" w:rsidRPr="00A9219A">
        <w:rPr>
          <w:rFonts w:ascii="GHEA Grapalat" w:hAnsi="GHEA Grapalat"/>
          <w:color w:val="000000"/>
          <w:lang w:val="hy-AM"/>
        </w:rPr>
        <w:t>գ</w:t>
      </w:r>
      <w:r w:rsidR="00DA2221" w:rsidRPr="00A9219A">
        <w:rPr>
          <w:rFonts w:ascii="Cambria Math" w:hAnsi="Cambria Math" w:cs="Cambria Math"/>
          <w:color w:val="000000"/>
          <w:lang w:val="hy-AM"/>
        </w:rPr>
        <w:t>․</w:t>
      </w:r>
      <w:r w:rsidR="00DA2221" w:rsidRPr="00A9219A">
        <w:rPr>
          <w:rFonts w:ascii="GHEA Grapalat" w:hAnsi="GHEA Grapalat"/>
          <w:color w:val="000000"/>
          <w:lang w:val="hy-AM"/>
        </w:rPr>
        <w:t xml:space="preserve">  Փանիկ, 1-ին փողոց, փակուղի 2, թիվ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6E01AA" w:rsidRPr="006E01AA">
        <w:rPr>
          <w:rFonts w:ascii="GHEA Grapalat" w:hAnsi="GHEA Grapalat" w:cs="Arial"/>
          <w:bCs/>
          <w:lang w:val="af-ZA"/>
        </w:rPr>
        <w:t xml:space="preserve"> </w:t>
      </w:r>
      <w:r w:rsidR="006E01AA">
        <w:rPr>
          <w:rFonts w:ascii="GHEA Grapalat" w:hAnsi="GHEA Grapalat" w:cs="Arial"/>
          <w:bCs/>
          <w:lang w:val="af-ZA"/>
        </w:rPr>
        <w:t>Փանիկի</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6E01AA" w:rsidRPr="006E01AA">
        <w:rPr>
          <w:rFonts w:ascii="GHEA Grapalat" w:hAnsi="GHEA Grapalat"/>
          <w:b/>
          <w:i w:val="0"/>
          <w:color w:val="FF0000"/>
          <w:lang w:val="af-ZA"/>
        </w:rPr>
        <w:t>9</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6E01AA" w:rsidRPr="006E01AA">
        <w:rPr>
          <w:rFonts w:ascii="GHEA Grapalat" w:hAnsi="GHEA Grapalat"/>
          <w:b/>
          <w:i w:val="0"/>
          <w:color w:val="FF0000"/>
          <w:u w:val="single"/>
          <w:lang w:val="af-ZA"/>
        </w:rPr>
        <w:t>6</w:t>
      </w:r>
      <w:r w:rsidR="00244C42" w:rsidRPr="00622851">
        <w:rPr>
          <w:rFonts w:ascii="GHEA Grapalat" w:hAnsi="GHEA Grapalat"/>
          <w:b/>
          <w:i w:val="0"/>
          <w:color w:val="FF0000"/>
          <w:u w:val="single"/>
          <w:lang w:val="af-ZA"/>
        </w:rPr>
        <w:t>.</w:t>
      </w:r>
      <w:r w:rsidR="00BF3607">
        <w:rPr>
          <w:rFonts w:ascii="GHEA Grapalat" w:hAnsi="GHEA Grapalat"/>
          <w:b/>
          <w:i w:val="0"/>
          <w:color w:val="FF0000"/>
          <w:u w:val="single"/>
          <w:vertAlign w:val="superscript"/>
          <w:lang w:val="hy-AM"/>
        </w:rPr>
        <w:t>3</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6E01AA" w:rsidRPr="006E01AA">
        <w:rPr>
          <w:rFonts w:ascii="GHEA Grapalat" w:hAnsi="GHEA Grapalat"/>
          <w:b/>
          <w:i w:val="0"/>
          <w:color w:val="FF0000"/>
          <w:lang w:val="af-ZA"/>
        </w:rPr>
        <w:t>9</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6E01AA" w:rsidRPr="006E01AA">
        <w:rPr>
          <w:rFonts w:ascii="GHEA Grapalat" w:hAnsi="GHEA Grapalat"/>
          <w:b/>
          <w:i w:val="0"/>
          <w:color w:val="FF0000"/>
          <w:u w:val="single"/>
          <w:lang w:val="af-ZA"/>
        </w:rPr>
        <w:t>6</w:t>
      </w:r>
      <w:r w:rsidR="00D51C70" w:rsidRPr="00622851">
        <w:rPr>
          <w:rFonts w:ascii="GHEA Grapalat" w:hAnsi="GHEA Grapalat"/>
          <w:b/>
          <w:i w:val="0"/>
          <w:color w:val="FF0000"/>
          <w:u w:val="single"/>
          <w:lang w:val="af-ZA"/>
        </w:rPr>
        <w:t>.</w:t>
      </w:r>
      <w:r w:rsidR="00BF3607">
        <w:rPr>
          <w:rFonts w:ascii="GHEA Grapalat" w:hAnsi="GHEA Grapalat"/>
          <w:b/>
          <w:i w:val="0"/>
          <w:color w:val="FF0000"/>
          <w:u w:val="single"/>
          <w:vertAlign w:val="superscript"/>
          <w:lang w:val="hy-AM"/>
        </w:rPr>
        <w:t>3</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DA2221" w:rsidRPr="00A9219A">
        <w:rPr>
          <w:rFonts w:ascii="GHEA Grapalat" w:hAnsi="GHEA Grapalat"/>
          <w:color w:val="000000"/>
          <w:lang w:val="hy-AM"/>
        </w:rPr>
        <w:t>գ</w:t>
      </w:r>
      <w:r w:rsidR="00DA2221" w:rsidRPr="00A9219A">
        <w:rPr>
          <w:rFonts w:ascii="Cambria Math" w:hAnsi="Cambria Math" w:cs="Cambria Math"/>
          <w:color w:val="000000"/>
          <w:lang w:val="hy-AM"/>
        </w:rPr>
        <w:t>․</w:t>
      </w:r>
      <w:r w:rsidR="00DA2221" w:rsidRPr="00A9219A">
        <w:rPr>
          <w:rFonts w:ascii="GHEA Grapalat" w:hAnsi="GHEA Grapalat"/>
          <w:color w:val="000000"/>
          <w:lang w:val="hy-AM"/>
        </w:rPr>
        <w:t xml:space="preserve">  Փանիկ, 1-ին փողոց, փակուղի 2, թիվ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771111" w:rsidRPr="000E1EDA" w:rsidRDefault="00754697" w:rsidP="00771111">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771111">
        <w:rPr>
          <w:rFonts w:ascii="GHEA Grapalat" w:hAnsi="GHEA Grapalat"/>
          <w:i w:val="0"/>
          <w:lang w:val="af-ZA"/>
        </w:rPr>
        <w:t>`</w:t>
      </w:r>
      <w:r w:rsidR="00D51C70" w:rsidRPr="00771111">
        <w:rPr>
          <w:rFonts w:ascii="GHEA Grapalat" w:hAnsi="GHEA Grapalat"/>
          <w:i w:val="0"/>
          <w:lang w:val="af-ZA"/>
        </w:rPr>
        <w:t xml:space="preserve"> </w:t>
      </w:r>
      <w:r w:rsidR="00771111">
        <w:rPr>
          <w:rFonts w:ascii="GHEA Grapalat" w:hAnsi="GHEA Grapalat"/>
          <w:i w:val="0"/>
          <w:u w:val="single"/>
          <w:lang w:val="af-ZA"/>
        </w:rPr>
        <w:t>Արմինուհուհի</w:t>
      </w:r>
      <w:r w:rsidR="00771111">
        <w:rPr>
          <w:rFonts w:ascii="GHEA Grapalat" w:hAnsi="GHEA Grapalat"/>
          <w:i w:val="0"/>
          <w:lang w:val="af-ZA"/>
        </w:rPr>
        <w:t xml:space="preserve"> </w:t>
      </w:r>
      <w:r w:rsidR="00771111">
        <w:rPr>
          <w:rFonts w:ascii="GHEA Grapalat" w:hAnsi="GHEA Grapalat"/>
          <w:i w:val="0"/>
          <w:u w:val="single"/>
          <w:lang w:val="af-ZA"/>
        </w:rPr>
        <w:t>Սալնազարյանին</w:t>
      </w:r>
    </w:p>
    <w:p w:rsidR="00771111" w:rsidRPr="000E1EDA" w:rsidRDefault="00771111" w:rsidP="00771111">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771111" w:rsidRPr="002F7C95" w:rsidRDefault="00771111" w:rsidP="0077111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bookmarkStart w:id="2" w:name="_Hlk216259636"/>
      <w:r w:rsidRPr="00BE1ADA">
        <w:rPr>
          <w:rFonts w:ascii="GHEA Grapalat" w:hAnsi="GHEA Grapalat"/>
          <w:b/>
          <w:i w:val="0"/>
          <w:u w:val="single"/>
          <w:lang w:val="af-ZA"/>
        </w:rPr>
        <w:t>093823160</w:t>
      </w:r>
      <w:bookmarkEnd w:id="2"/>
      <w:r w:rsidRPr="00BE1ADA">
        <w:rPr>
          <w:rFonts w:ascii="GHEA Grapalat" w:hAnsi="GHEA Grapalat"/>
          <w:i w:val="0"/>
          <w:u w:val="single"/>
          <w:lang w:val="hy-AM"/>
        </w:rPr>
        <w:t>,</w:t>
      </w:r>
      <w:r w:rsidRPr="002F7C95">
        <w:rPr>
          <w:rFonts w:ascii="GHEA Grapalat" w:hAnsi="GHEA Grapalat"/>
          <w:i w:val="0"/>
          <w:u w:val="single"/>
          <w:lang w:val="hy-AM"/>
        </w:rPr>
        <w:t xml:space="preserve"> </w:t>
      </w:r>
    </w:p>
    <w:p w:rsidR="00D51C70" w:rsidRPr="002F7C95" w:rsidRDefault="004B5203" w:rsidP="00771111">
      <w:pPr>
        <w:pStyle w:val="a3"/>
        <w:spacing w:line="240" w:lineRule="auto"/>
        <w:rPr>
          <w:rFonts w:ascii="Microsoft JhengHei" w:eastAsia="Microsoft JhengHei" w:hAnsi="Microsoft JhengHei" w:cs="Microsoft JhengHei"/>
          <w:i w:val="0"/>
          <w:sz w:val="22"/>
          <w:szCs w:val="22"/>
          <w:u w:val="single"/>
          <w:lang w:val="af-ZA"/>
        </w:rPr>
      </w:pPr>
      <w:r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4B0B" w:rsidRDefault="00754697" w:rsidP="00A66CEB">
      <w:pPr>
        <w:pStyle w:val="a3"/>
        <w:spacing w:line="240" w:lineRule="auto"/>
        <w:ind w:firstLine="0"/>
        <w:jc w:val="left"/>
        <w:rPr>
          <w:rFonts w:asciiTheme="minorHAnsi" w:hAnsiTheme="minorHAnsi"/>
          <w:i w:val="0"/>
          <w:lang w:val="hy-AM"/>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156CCF" w:rsidRPr="00156CCF">
          <w:rPr>
            <w:rStyle w:val="a9"/>
            <w:lang w:val="af-ZA"/>
          </w:rPr>
          <w:t>paniki.mankapartez@mail.ru</w:t>
        </w:r>
      </w:hyperlink>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AD72F4">
        <w:rPr>
          <w:rFonts w:ascii="GHEA Grapalat" w:hAnsi="GHEA Grapalat" w:cs="Arial"/>
          <w:bCs/>
          <w:lang w:val="af-ZA"/>
        </w:rPr>
        <w:t>Փանիկի</w:t>
      </w:r>
      <w:r w:rsidR="00AD72F4" w:rsidRPr="00AD72F4">
        <w:rPr>
          <w:rFonts w:ascii="GHEA Grapalat" w:hAnsi="GHEA Grapalat" w:cs="Arial"/>
          <w:bCs/>
          <w:lang w:val="af-ZA"/>
        </w:rPr>
        <w:t xml:space="preserve"> </w:t>
      </w:r>
      <w:proofErr w:type="spellStart"/>
      <w:r w:rsidR="00181BC7" w:rsidRPr="00A9219A">
        <w:rPr>
          <w:rFonts w:ascii="GHEA Grapalat" w:hAnsi="GHEA Grapalat" w:cs="Arial"/>
          <w:bCs/>
          <w:lang w:val="en-US"/>
        </w:rPr>
        <w:t>նախադպրոցական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ուսումնական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հաստատություն</w:t>
      </w:r>
      <w:proofErr w:type="spellEnd"/>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AD72F4">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w:t>
      </w:r>
      <w:r w:rsidR="00AD72F4" w:rsidRPr="00AD72F4">
        <w:rPr>
          <w:rFonts w:ascii="GHEA Grapalat" w:hAnsi="GHEA Grapalat"/>
          <w:i/>
          <w:lang w:val="af-ZA"/>
        </w:rPr>
        <w:t xml:space="preserve"> </w:t>
      </w:r>
      <w:r w:rsidRPr="00DE412D">
        <w:rPr>
          <w:rFonts w:ascii="GHEA Grapalat" w:hAnsi="GHEA Grapalat"/>
          <w:i/>
          <w:lang w:val="hy-AM"/>
        </w:rPr>
        <w:t>&lt;&lt;</w:t>
      </w:r>
      <w:r w:rsidR="00181BC7" w:rsidRPr="00181BC7">
        <w:rPr>
          <w:rFonts w:ascii="GHEA Grapalat" w:hAnsi="GHEA Grapalat" w:cs="Arial"/>
          <w:bCs/>
          <w:sz w:val="20"/>
          <w:szCs w:val="20"/>
          <w:lang w:val="af-ZA"/>
        </w:rPr>
        <w:t xml:space="preserve"> </w:t>
      </w:r>
      <w:r w:rsidR="00AD72F4">
        <w:rPr>
          <w:rFonts w:ascii="GHEA Grapalat" w:hAnsi="GHEA Grapalat" w:cs="Arial"/>
          <w:bCs/>
          <w:lang w:val="af-ZA"/>
        </w:rPr>
        <w:t>Փանիկի</w:t>
      </w:r>
      <w:r w:rsidR="00404918" w:rsidRPr="00404918">
        <w:rPr>
          <w:rFonts w:ascii="GHEA Grapalat" w:hAnsi="GHEA Grapalat" w:cs="Arial"/>
          <w:bCs/>
          <w:sz w:val="20"/>
          <w:szCs w:val="20"/>
          <w:lang w:val="af-ZA"/>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AD72F4">
        <w:rPr>
          <w:rFonts w:ascii="GHEA Grapalat" w:hAnsi="GHEA Grapalat"/>
          <w:b/>
          <w:i/>
        </w:rPr>
        <w:t>ՓԱՆԻԿԻ</w:t>
      </w:r>
      <w:r w:rsidR="00181BC7">
        <w:rPr>
          <w:rFonts w:ascii="GHEA Grapalat" w:hAnsi="GHEA Grapalat"/>
          <w:b/>
          <w:i/>
          <w:lang w:val="hy-AM"/>
        </w:rPr>
        <w:t xml:space="preserve">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1A43A4" w:rsidRPr="000E1EDA" w:rsidRDefault="00096865" w:rsidP="00EF3662">
      <w:pPr>
        <w:ind w:firstLine="567"/>
        <w:jc w:val="both"/>
        <w:rPr>
          <w:rFonts w:ascii="GHEA Grapalat" w:hAnsi="GHEA Grapalat" w:cs="Sylfaen"/>
          <w:i/>
          <w:sz w:val="20"/>
          <w:szCs w:val="20"/>
          <w:lang w:val="af-ZA"/>
        </w:rPr>
      </w:pPr>
      <w:proofErr w:type="spellStart"/>
      <w:r w:rsidRPr="00BB0ADD">
        <w:rPr>
          <w:rFonts w:ascii="GHEA Grapalat" w:hAnsi="GHEA Grapalat" w:cs="Sylfaen"/>
          <w:i/>
          <w:color w:val="FF0000"/>
          <w:sz w:val="20"/>
          <w:szCs w:val="20"/>
        </w:rPr>
        <w:t>Հարգելի</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մասնակից</w:t>
      </w:r>
      <w:proofErr w:type="spellEnd"/>
      <w:r w:rsidR="00677658" w:rsidRPr="00BB0ADD">
        <w:rPr>
          <w:rFonts w:ascii="GHEA Grapalat" w:hAnsi="GHEA Grapalat" w:cs="Sylfaen"/>
          <w:i/>
          <w:color w:val="FF0000"/>
          <w:sz w:val="20"/>
          <w:szCs w:val="20"/>
          <w:lang w:val="af-ZA"/>
        </w:rPr>
        <w:t xml:space="preserve"> </w:t>
      </w:r>
      <w:proofErr w:type="spellStart"/>
      <w:r w:rsidR="00884204" w:rsidRPr="00BB0ADD">
        <w:rPr>
          <w:rFonts w:ascii="GHEA Grapalat" w:hAnsi="GHEA Grapalat" w:cs="Sylfaen"/>
          <w:i/>
          <w:color w:val="FF0000"/>
          <w:sz w:val="20"/>
          <w:szCs w:val="20"/>
        </w:rPr>
        <w:t>ն</w:t>
      </w:r>
      <w:r w:rsidRPr="00BB0ADD">
        <w:rPr>
          <w:rFonts w:ascii="GHEA Grapalat" w:hAnsi="GHEA Grapalat" w:cs="Sylfaen"/>
          <w:i/>
          <w:color w:val="FF0000"/>
          <w:sz w:val="20"/>
          <w:szCs w:val="20"/>
        </w:rPr>
        <w:t>ախքան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հայտ</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կազմելը</w:t>
      </w:r>
      <w:proofErr w:type="spellEnd"/>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և</w:t>
      </w:r>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ներկայացնելը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խնդրում</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ենք</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մանրամասնորեն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ուսումնասիրել</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սույն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հրավերը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քանի</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որ</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հրավերին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չհամապատասխանող</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հայտերը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ենթակա</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մերժման</w:t>
      </w:r>
      <w:proofErr w:type="spellEnd"/>
      <w:r w:rsidR="0046586E" w:rsidRPr="00BB0ADD">
        <w:rPr>
          <w:rFonts w:ascii="GHEA Grapalat" w:hAnsi="GHEA Grapalat" w:cs="Sylfaen"/>
          <w:i/>
          <w:color w:val="FF0000"/>
          <w:sz w:val="20"/>
          <w:szCs w:val="20"/>
          <w:lang w:val="af-ZA"/>
        </w:rPr>
        <w:t xml:space="preserve">: </w:t>
      </w:r>
    </w:p>
    <w:p w:rsidR="00160AE4" w:rsidRPr="000E1EDA" w:rsidRDefault="0089384E" w:rsidP="00AD72F4">
      <w:pPr>
        <w:ind w:firstLine="567"/>
        <w:jc w:val="both"/>
        <w:rPr>
          <w:rFonts w:ascii="GHEA Grapalat" w:hAnsi="GHEA Grapalat"/>
          <w:b/>
          <w:sz w:val="20"/>
          <w:szCs w:val="20"/>
          <w:lang w:val="af-ZA"/>
        </w:rPr>
      </w:pPr>
      <w:r w:rsidRPr="000E1EDA">
        <w:rPr>
          <w:rFonts w:ascii="GHEA Grapalat" w:hAnsi="GHEA Grapalat" w:cs="Sylfaen"/>
          <w:b/>
          <w:sz w:val="20"/>
          <w:szCs w:val="20"/>
          <w:lang w:val="af-ZA"/>
        </w:rPr>
        <w:br w:type="page"/>
      </w:r>
      <w:proofErr w:type="spellStart"/>
      <w:r w:rsidR="00160AE4" w:rsidRPr="000E1EDA">
        <w:rPr>
          <w:rFonts w:ascii="GHEA Grapalat" w:hAnsi="GHEA Grapalat" w:cs="Sylfaen"/>
          <w:b/>
          <w:sz w:val="20"/>
          <w:szCs w:val="20"/>
        </w:rPr>
        <w:lastRenderedPageBreak/>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AD72F4">
        <w:rPr>
          <w:rFonts w:ascii="GHEA Grapalat" w:hAnsi="GHEA Grapalat"/>
          <w:b/>
          <w:i/>
        </w:rPr>
        <w:t>ՓԱՆԻԿԻ</w:t>
      </w:r>
      <w:r w:rsidR="00181BC7">
        <w:rPr>
          <w:rFonts w:ascii="GHEA Grapalat" w:hAnsi="GHEA Grapalat"/>
          <w:b/>
          <w:i/>
          <w:lang w:val="hy-AM"/>
        </w:rPr>
        <w:t xml:space="preserve">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AD72F4">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proofErr w:type="spellStart"/>
      <w:r w:rsidR="00156CCF">
        <w:rPr>
          <w:rFonts w:ascii="GHEA Grapalat" w:hAnsi="GHEA Grapalat" w:cs="Arial"/>
          <w:bCs/>
          <w:sz w:val="20"/>
          <w:szCs w:val="20"/>
        </w:rPr>
        <w:t>Փանիկի</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A66CEB" w:rsidRDefault="00A81DD5" w:rsidP="00A66CEB">
      <w:pPr>
        <w:pStyle w:val="a3"/>
        <w:spacing w:line="240" w:lineRule="auto"/>
        <w:ind w:firstLine="0"/>
        <w:jc w:val="left"/>
        <w:rPr>
          <w:rFonts w:ascii="GHEA Grapalat" w:hAnsi="GHEA Grapalat"/>
          <w:lang w:val="af-ZA"/>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156CCF">
        <w:fldChar w:fldCharType="begin"/>
      </w:r>
      <w:r w:rsidR="00156CCF" w:rsidRPr="00156CCF">
        <w:rPr>
          <w:lang w:val="af-ZA"/>
        </w:rPr>
        <w:instrText xml:space="preserve"> HYPERLINK "mailto:paniki.mankapartez@mail.ru" </w:instrText>
      </w:r>
      <w:r w:rsidR="00156CCF">
        <w:fldChar w:fldCharType="separate"/>
      </w:r>
      <w:r w:rsidR="00156CCF" w:rsidRPr="00156CCF">
        <w:rPr>
          <w:rStyle w:val="a9"/>
          <w:lang w:val="af-ZA"/>
        </w:rPr>
        <w:t>paniki.mankapartez@mail.ru</w:t>
      </w:r>
      <w:r w:rsidR="00156CCF">
        <w:rPr>
          <w:rStyle w:val="a9"/>
          <w:lang w:val="en-US"/>
        </w:rPr>
        <w:fldChar w:fldCharType="end"/>
      </w:r>
      <w:r w:rsidR="00F5653D" w:rsidRPr="00A66CEB">
        <w:rPr>
          <w:rFonts w:ascii="GHEA Grapalat" w:hAnsi="GHEA Grapalat"/>
          <w:lang w:val="af-ZA"/>
        </w:rPr>
        <w:br w:type="page"/>
      </w:r>
      <w:proofErr w:type="gramStart"/>
      <w:r w:rsidR="00096865" w:rsidRPr="000E1EDA">
        <w:rPr>
          <w:rFonts w:ascii="GHEA Grapalat" w:hAnsi="GHEA Grapalat" w:cs="Sylfaen"/>
        </w:rPr>
        <w:lastRenderedPageBreak/>
        <w:t>ՄԱՍ</w:t>
      </w:r>
      <w:r w:rsidR="00096865" w:rsidRPr="00A66CEB">
        <w:rPr>
          <w:rFonts w:ascii="GHEA Grapalat" w:hAnsi="GHEA Grapalat" w:cs="Times Armenian"/>
          <w:lang w:val="af-ZA"/>
        </w:rPr>
        <w:t xml:space="preserve">  I</w:t>
      </w:r>
      <w:proofErr w:type="gramEnd"/>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proofErr w:type="spellStart"/>
      <w:r w:rsidR="00AD72F4">
        <w:rPr>
          <w:rFonts w:ascii="GHEA Grapalat" w:hAnsi="GHEA Grapalat" w:cs="Arial"/>
          <w:bCs/>
          <w:sz w:val="20"/>
          <w:szCs w:val="20"/>
        </w:rPr>
        <w:t>Փանիկի</w:t>
      </w:r>
      <w:proofErr w:type="spellEnd"/>
      <w:r w:rsidR="00AD72F4">
        <w:rPr>
          <w:rFonts w:ascii="GHEA Grapalat" w:hAnsi="GHEA Grapalat" w:cs="Arial"/>
          <w:bCs/>
          <w:sz w:val="20"/>
          <w:szCs w:val="20"/>
        </w:rPr>
        <w:t xml:space="preserve"> </w:t>
      </w:r>
      <w:proofErr w:type="spellStart"/>
      <w:r w:rsidR="00181BC7" w:rsidRPr="00181BC7">
        <w:rPr>
          <w:rFonts w:ascii="GHEA Grapalat" w:hAnsi="GHEA Grapalat" w:cs="Arial"/>
          <w:bCs/>
          <w:sz w:val="20"/>
          <w:szCs w:val="20"/>
        </w:rPr>
        <w:t>նախադպրոցական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ուսումնական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հաստատություն</w:t>
      </w:r>
      <w:proofErr w:type="spellEnd"/>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AD72F4" w:rsidRPr="009D6AE3" w:rsidTr="002F7B0F">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673992</w:t>
            </w:r>
          </w:p>
        </w:tc>
        <w:tc>
          <w:tcPr>
            <w:tcW w:w="6239" w:type="dxa"/>
            <w:vAlign w:val="center"/>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AD72F4" w:rsidRPr="009D6AE3" w:rsidTr="002F7B0F">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35964</w:t>
            </w:r>
          </w:p>
        </w:tc>
        <w:tc>
          <w:tcPr>
            <w:tcW w:w="6239" w:type="dxa"/>
            <w:vAlign w:val="center"/>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AD72F4" w:rsidRPr="009D6AE3" w:rsidTr="002F7B0F">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2010960</w:t>
            </w:r>
          </w:p>
        </w:tc>
        <w:tc>
          <w:tcPr>
            <w:tcW w:w="6239" w:type="dxa"/>
            <w:vAlign w:val="center"/>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AD72F4" w:rsidRPr="009D6AE3" w:rsidTr="002F7B0F">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2518560</w:t>
            </w:r>
          </w:p>
        </w:tc>
        <w:tc>
          <w:tcPr>
            <w:tcW w:w="6239" w:type="dxa"/>
            <w:vAlign w:val="center"/>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252000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744600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900000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1705200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1741320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213840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77760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47196</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172800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924600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7020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97932,6</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17640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68688</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13824</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204930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94500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5328</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32760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23040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312120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273300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21600</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448488</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67320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67680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288600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33300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32760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7200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26400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21150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12960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678960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267000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84600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21000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158310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623520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8640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41280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7560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15120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226800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241080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474084</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46080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39360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64800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103680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172368</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104400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46800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5328</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4631,04</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172800</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1008</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48600</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158400</w:t>
            </w:r>
          </w:p>
        </w:tc>
        <w:tc>
          <w:tcPr>
            <w:tcW w:w="6239" w:type="dxa"/>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3240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2520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1512</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1620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162</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1440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AD72F4" w:rsidRPr="009D6AE3" w:rsidTr="00003AE6">
        <w:tc>
          <w:tcPr>
            <w:tcW w:w="1701" w:type="dxa"/>
            <w:vAlign w:val="center"/>
          </w:tcPr>
          <w:p w:rsidR="00AD72F4" w:rsidRPr="000E1EDA" w:rsidRDefault="00AD72F4" w:rsidP="00AD72F4">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54000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proofErr w:type="gram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proofErr w:type="gram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5"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5"/>
      <w:proofErr w:type="spellStart"/>
      <w:proofErr w:type="gram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D72F4">
        <w:fldChar w:fldCharType="begin"/>
      </w:r>
      <w:r w:rsidR="00AD72F4" w:rsidRPr="006E01AA">
        <w:rPr>
          <w:lang w:val="hy-AM"/>
        </w:rPr>
        <w:instrText xml:space="preserve"> HYPERLINK "https://ru.wikipedia.org/wiki/Standard_%26_Poor%E2%80%99s" \t "_blank" </w:instrText>
      </w:r>
      <w:r w:rsidR="00AD72F4">
        <w:fldChar w:fldCharType="separate"/>
      </w:r>
      <w:r w:rsidR="00F964A6" w:rsidRPr="000E1EDA">
        <w:rPr>
          <w:rFonts w:ascii="GHEA Grapalat" w:hAnsi="GHEA Grapalat"/>
          <w:color w:val="000000"/>
          <w:sz w:val="20"/>
          <w:szCs w:val="20"/>
          <w:lang w:val="hy-AM"/>
        </w:rPr>
        <w:t>Standard &amp; Poor’s</w:t>
      </w:r>
      <w:r w:rsidR="00AD72F4">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D33385" w:rsidRPr="00D33385">
        <w:rPr>
          <w:rFonts w:ascii="GHEA Grapalat" w:hAnsi="GHEA Grapalat" w:cs="Sylfaen"/>
          <w:b/>
          <w:color w:val="FF0000"/>
          <w:lang w:val="hy-AM"/>
        </w:rPr>
        <w:t>9</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D33385" w:rsidRPr="00D33385">
        <w:rPr>
          <w:rFonts w:ascii="GHEA Grapalat" w:hAnsi="GHEA Grapalat" w:cs="Sylfaen"/>
          <w:b/>
          <w:color w:val="FF0000"/>
          <w:lang w:val="hy-AM"/>
        </w:rPr>
        <w:t>6</w:t>
      </w:r>
      <w:r w:rsidR="00BF3607">
        <w:rPr>
          <w:rFonts w:ascii="GHEA Grapalat" w:hAnsi="GHEA Grapalat" w:cs="Sylfaen"/>
          <w:b/>
          <w:color w:val="FF0000"/>
          <w:vertAlign w:val="superscript"/>
          <w:lang w:val="hy-AM"/>
        </w:rPr>
        <w:t>3</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9" w:history="1">
        <w:r w:rsidR="00156CCF" w:rsidRPr="005E302A">
          <w:rPr>
            <w:rStyle w:val="a9"/>
          </w:rPr>
          <w:t>paniki.mankapartez@mail.ru</w:t>
        </w:r>
      </w:hyperlink>
      <w:r w:rsidR="000E4B0B">
        <w:rPr>
          <w:rFonts w:asciiTheme="minorHAnsi" w:hAnsiTheme="minorHAnsi"/>
          <w:lang w:val="hy-AM"/>
        </w:rPr>
        <w:t xml:space="preserve"> </w:t>
      </w:r>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proofErr w:type="gramStart"/>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proofErr w:type="gramEnd"/>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proofErr w:type="gramStart"/>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proofErr w:type="gramEnd"/>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D33385" w:rsidRPr="00D33385">
        <w:rPr>
          <w:rFonts w:ascii="GHEA Grapalat" w:hAnsi="GHEA Grapalat" w:cs="Sylfaen"/>
          <w:b/>
          <w:color w:val="FF0000"/>
        </w:rPr>
        <w:t>9</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D33385" w:rsidRPr="00D33385">
        <w:rPr>
          <w:rFonts w:ascii="GHEA Grapalat" w:hAnsi="GHEA Grapalat" w:cs="Sylfaen"/>
          <w:b/>
          <w:color w:val="FF0000"/>
        </w:rPr>
        <w:t>6</w:t>
      </w:r>
      <w:r w:rsidR="00BF3607">
        <w:rPr>
          <w:rFonts w:ascii="GHEA Grapalat" w:hAnsi="GHEA Grapalat" w:cs="Sylfaen"/>
          <w:b/>
          <w:color w:val="FF0000"/>
          <w:vertAlign w:val="superscript"/>
          <w:lang w:val="hy-AM"/>
        </w:rPr>
        <w:t>3</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proofErr w:type="gram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proofErr w:type="gram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proofErr w:type="gram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2"/>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proofErr w:type="gram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proofErr w:type="gram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gramStart"/>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proofErr w:type="gram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proofErr w:type="gram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անվանումը</w:t>
      </w:r>
    </w:p>
    <w:p w:rsidR="00B2572B" w:rsidRPr="000E1EDA" w:rsidRDefault="00AD7E9C" w:rsidP="00EF3662">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proofErr w:type="gram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proofErr w:type="gram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proofErr w:type="gram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DA2221">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DA222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BF3607">
        <w:rPr>
          <w:rFonts w:ascii="GHEA Grapalat" w:hAnsi="GHEA Grapalat"/>
          <w:color w:val="030921"/>
          <w:shd w:val="clear" w:color="auto" w:fill="FEFEFE"/>
          <w:lang w:val="hy-AM"/>
        </w:rPr>
        <w:t>ՇՄ</w:t>
      </w:r>
      <w:r w:rsidR="00D33385" w:rsidRPr="00D33385">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w:t>
      </w:r>
      <w:proofErr w:type="gramStart"/>
      <w:r w:rsidR="000A1464" w:rsidRPr="000E1EDA">
        <w:rPr>
          <w:rFonts w:ascii="GHEA Grapalat" w:hAnsi="GHEA Grapalat" w:cs="Arial"/>
          <w:sz w:val="20"/>
          <w:szCs w:val="20"/>
          <w:lang w:val="hy-AM"/>
        </w:rPr>
        <w:t xml:space="preserve">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sidR="00404918">
        <w:rPr>
          <w:rFonts w:ascii="GHEA Grapalat" w:hAnsi="GHEA Grapalat"/>
          <w:b/>
          <w:lang w:val="en-US"/>
        </w:rPr>
        <w:t xml:space="preserve"> /7</w:t>
      </w:r>
      <w:r w:rsidR="00404918">
        <w:rPr>
          <w:rFonts w:ascii="GHEA Grapalat" w:hAnsi="GHEA Grapalat"/>
          <w:b/>
          <w:lang w:val="hy-AM"/>
        </w:rPr>
        <w:t xml:space="preserve">1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BF3607">
      <w:pPr>
        <w:rPr>
          <w:rFonts w:ascii="GHEA Grapalat" w:eastAsia="GHEA Grapalat" w:hAnsi="GHEA Grapalat" w:cs="GHEA Grapalat"/>
          <w:color w:val="000000"/>
          <w:sz w:val="20"/>
          <w:szCs w:val="20"/>
        </w:rPr>
      </w:pPr>
      <w:r w:rsidRPr="000E1EDA">
        <w:rPr>
          <w:rFonts w:ascii="GHEA Grapalat" w:hAnsi="GHEA Grapalat"/>
          <w:sz w:val="20"/>
          <w:szCs w:val="20"/>
        </w:rPr>
        <w:br w:type="page"/>
      </w: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AD72F4"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AD72F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BF3607">
        <w:rPr>
          <w:rFonts w:ascii="GHEA Grapalat" w:hAnsi="GHEA Grapalat"/>
          <w:color w:val="030921"/>
          <w:shd w:val="clear" w:color="auto" w:fill="FEFEFE"/>
          <w:lang w:val="hy-AM"/>
        </w:rPr>
        <w:t>ՇՄ</w:t>
      </w:r>
      <w:r w:rsidR="00D33385" w:rsidRPr="00D33385">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6E01AA"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proofErr w:type="gram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proofErr w:type="gramStart"/>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proofErr w:type="gram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5E6C34">
        <w:fldChar w:fldCharType="begin"/>
      </w:r>
      <w:r w:rsidR="005E6C34" w:rsidRPr="00771111">
        <w:rPr>
          <w:lang w:val="hy-AM"/>
        </w:rPr>
        <w:instrText xml:space="preserve"> HYPERLINK "http://www.procurement.am" </w:instrText>
      </w:r>
      <w:r w:rsidR="005E6C34">
        <w:fldChar w:fldCharType="separate"/>
      </w:r>
      <w:r w:rsidRPr="002957CF">
        <w:rPr>
          <w:rStyle w:val="a9"/>
          <w:rFonts w:ascii="GHEA Grapalat" w:hAnsi="GHEA Grapalat"/>
          <w:strike/>
          <w:sz w:val="20"/>
          <w:szCs w:val="20"/>
          <w:lang w:val="hy-AM"/>
        </w:rPr>
        <w:t>www.procurement.am</w:t>
      </w:r>
      <w:r w:rsidR="005E6C34">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5E6C34">
        <w:fldChar w:fldCharType="begin"/>
      </w:r>
      <w:r w:rsidR="005E6C34" w:rsidRPr="00771111">
        <w:rPr>
          <w:lang w:val="hy-AM"/>
        </w:rPr>
        <w:instrText xml:space="preserve"> HYPERLINK "http://www.procurement.am" </w:instrText>
      </w:r>
      <w:r w:rsidR="005E6C34">
        <w:fldChar w:fldCharType="separate"/>
      </w:r>
      <w:r w:rsidRPr="00302187">
        <w:rPr>
          <w:rStyle w:val="a9"/>
          <w:rFonts w:ascii="GHEA Grapalat" w:hAnsi="GHEA Grapalat"/>
          <w:strike/>
          <w:sz w:val="20"/>
          <w:szCs w:val="20"/>
          <w:lang w:val="hy-AM"/>
        </w:rPr>
        <w:t>www.procurement.am</w:t>
      </w:r>
      <w:r w:rsidR="005E6C34">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04918" w:rsidRPr="00404918">
        <w:rPr>
          <w:rFonts w:ascii="GHEA Grapalat" w:hAnsi="GHEA Grapalat" w:cs="Arial"/>
          <w:bCs/>
          <w:lang w:val="hy-AM"/>
        </w:rPr>
        <w:t xml:space="preserve"> </w:t>
      </w:r>
      <w:proofErr w:type="spellStart"/>
      <w:r w:rsidR="00D33385">
        <w:rPr>
          <w:rFonts w:ascii="GHEA Grapalat" w:hAnsi="GHEA Grapalat" w:cs="Arial"/>
          <w:bCs/>
        </w:rPr>
        <w:t>Փանիկի</w:t>
      </w:r>
      <w:proofErr w:type="spellEnd"/>
      <w:r w:rsidR="00140840">
        <w:rPr>
          <w:rFonts w:ascii="GHEA Grapalat" w:hAnsi="GHEA Grapalat" w:cs="Arial"/>
          <w:bCs/>
          <w:lang w:val="hy-AM"/>
        </w:rPr>
        <w:t xml:space="preserve"> </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հաստատություն</w:t>
      </w:r>
      <w:proofErr w:type="spellEnd"/>
      <w:r w:rsidR="00404918"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6E01A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6E01A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6E01A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6E01A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6E01A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5E6C34">
        <w:fldChar w:fldCharType="begin"/>
      </w:r>
      <w:r w:rsidR="005E6C34" w:rsidRPr="00771111">
        <w:rPr>
          <w:lang w:val="hy-AM"/>
        </w:rPr>
        <w:instrText xml:space="preserve"> HYPERLINK "http://www.procurement.am" </w:instrText>
      </w:r>
      <w:r w:rsidR="005E6C34">
        <w:fldChar w:fldCharType="separate"/>
      </w:r>
      <w:r w:rsidRPr="002A18D8">
        <w:rPr>
          <w:rStyle w:val="a9"/>
          <w:rFonts w:ascii="GHEA Grapalat" w:hAnsi="GHEA Grapalat"/>
          <w:strike/>
          <w:sz w:val="20"/>
          <w:szCs w:val="20"/>
          <w:lang w:val="hy-AM"/>
        </w:rPr>
        <w:t>www.procurement.am</w:t>
      </w:r>
      <w:r w:rsidR="005E6C34">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D33385" w:rsidRPr="00D33385">
        <w:rPr>
          <w:rFonts w:ascii="GHEA Grapalat" w:hAnsi="GHEA Grapalat" w:cs="Arial"/>
          <w:bCs/>
          <w:lang w:val="pt-BR"/>
        </w:rPr>
        <w:t xml:space="preserve"> </w:t>
      </w:r>
      <w:proofErr w:type="spellStart"/>
      <w:r w:rsidR="00D33385">
        <w:rPr>
          <w:rFonts w:ascii="GHEA Grapalat" w:hAnsi="GHEA Grapalat" w:cs="Arial"/>
          <w:bCs/>
        </w:rPr>
        <w:t>Փանիկի</w:t>
      </w:r>
      <w:proofErr w:type="spellEnd"/>
      <w:r w:rsidR="00D33385" w:rsidRPr="007C33BC">
        <w:rPr>
          <w:rFonts w:ascii="GHEA Grapalat" w:hAnsi="GHEA Grapalat" w:cs="Arial"/>
          <w:bCs/>
          <w:lang w:val="hy-AM"/>
        </w:rPr>
        <w:t xml:space="preserve"> </w:t>
      </w:r>
      <w:r w:rsidR="00404918" w:rsidRPr="007C33BC">
        <w:rPr>
          <w:rFonts w:ascii="GHEA Grapalat" w:hAnsi="GHEA Grapalat" w:cs="Arial"/>
          <w:bCs/>
          <w:lang w:val="hy-AM"/>
        </w:rPr>
        <w:t>նախադպրոցական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ուսումնական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հաստատություն</w:t>
      </w:r>
      <w:r w:rsidR="00404918"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6E01A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6E01A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6E01A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6E01A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6E01A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5E6C34">
        <w:fldChar w:fldCharType="begin"/>
      </w:r>
      <w:r w:rsidR="005E6C34" w:rsidRPr="00771111">
        <w:rPr>
          <w:lang w:val="hy-AM"/>
        </w:rPr>
        <w:instrText xml:space="preserve"> HYPERLINK "http://www.procurement.am" </w:instrText>
      </w:r>
      <w:r w:rsidR="005E6C34">
        <w:fldChar w:fldCharType="separate"/>
      </w:r>
      <w:r w:rsidRPr="00AB7003">
        <w:rPr>
          <w:rStyle w:val="a9"/>
          <w:rFonts w:ascii="GHEA Grapalat" w:hAnsi="GHEA Grapalat"/>
          <w:strike/>
          <w:sz w:val="20"/>
          <w:szCs w:val="20"/>
          <w:lang w:val="hy-AM"/>
        </w:rPr>
        <w:t>www.procurement.am</w:t>
      </w:r>
      <w:r w:rsidR="005E6C34">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8A3CE1" w:rsidRDefault="00AB7003" w:rsidP="00294805">
      <w:pPr>
        <w:jc w:val="center"/>
        <w:rPr>
          <w:rFonts w:ascii="GHEA Grapalat" w:hAnsi="GHEA Grapalat"/>
          <w:sz w:val="20"/>
          <w:szCs w:val="20"/>
          <w:lang w:val="hy-AM"/>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D33385" w:rsidRPr="00D33385">
        <w:rPr>
          <w:rFonts w:ascii="GHEA Grapalat" w:hAnsi="GHEA Grapalat" w:cs="Arial"/>
          <w:bCs/>
          <w:lang w:val="hy-AM"/>
        </w:rPr>
        <w:t>Փանիկի</w:t>
      </w:r>
      <w:r w:rsidR="008A3CE1" w:rsidRPr="00A9219A">
        <w:rPr>
          <w:rFonts w:ascii="GHEA Grapalat" w:hAnsi="GHEA Grapalat" w:cs="Arial"/>
          <w:bCs/>
          <w:lang w:val="hy-AM"/>
        </w:rPr>
        <w:t xml:space="preserve"> </w:t>
      </w:r>
      <w:r w:rsidR="008A3CE1" w:rsidRPr="008A3CE1">
        <w:rPr>
          <w:rFonts w:ascii="GHEA Grapalat" w:hAnsi="GHEA Grapalat" w:cs="Arial"/>
          <w:bCs/>
          <w:lang w:val="hy-AM"/>
        </w:rPr>
        <w:t>նախադպրոցական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ուսումնական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294805" w:rsidRPr="00294805">
        <w:rPr>
          <w:rFonts w:ascii="GHEA Grapalat" w:hAnsi="GHEA Grapalat"/>
          <w:sz w:val="20"/>
          <w:szCs w:val="20"/>
          <w:lang w:val="hy-AM"/>
        </w:rPr>
        <w:t>Ա. Մելքոնյան</w:t>
      </w:r>
      <w:r w:rsidR="00294805" w:rsidRPr="00294805">
        <w:rPr>
          <w:rFonts w:ascii="GHEA Grapalat" w:hAnsi="GHEA Grapalat"/>
          <w:sz w:val="20"/>
          <w:szCs w:val="20"/>
          <w:lang w:val="hy-AM"/>
        </w:rPr>
        <w:t>ի</w:t>
      </w:r>
      <w:r w:rsidR="00071D1C" w:rsidRPr="00076842">
        <w:rPr>
          <w:rFonts w:ascii="GHEA Grapalat" w:hAnsi="GHEA Grapalat"/>
          <w:sz w:val="20"/>
          <w:szCs w:val="20"/>
          <w:lang w:val="hy-AM"/>
        </w:rPr>
        <w:t>,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481594" w:rsidRPr="00481594" w:rsidRDefault="004D58B3"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00481594" w:rsidRPr="00481594">
              <w:rPr>
                <w:rFonts w:ascii="GHEA Grapalat" w:hAnsi="GHEA Grapalat"/>
                <w:color w:val="000000"/>
                <w:sz w:val="20"/>
                <w:szCs w:val="20"/>
                <w:lang w:val="hy-AM"/>
              </w:rPr>
              <w:t>Շիրակի մարզի Արթիկ համայնքի ‹‹</w:t>
            </w:r>
            <w:proofErr w:type="spellStart"/>
            <w:r w:rsidR="00294805">
              <w:rPr>
                <w:rFonts w:ascii="GHEA Grapalat" w:hAnsi="GHEA Grapalat"/>
                <w:color w:val="000000"/>
                <w:sz w:val="20"/>
                <w:szCs w:val="20"/>
              </w:rPr>
              <w:t>Փանիկի</w:t>
            </w:r>
            <w:proofErr w:type="spellEnd"/>
            <w:r w:rsidR="00481594"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bookmarkStart w:id="29" w:name="_Hlk216436657"/>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w:t>
            </w:r>
            <w:bookmarkEnd w:id="29"/>
            <w:r w:rsidRPr="00A9219A">
              <w:rPr>
                <w:rFonts w:ascii="GHEA Grapalat" w:hAnsi="GHEA Grapalat"/>
                <w:color w:val="000000"/>
                <w:sz w:val="20"/>
                <w:szCs w:val="20"/>
                <w:lang w:val="hy-AM"/>
              </w:rPr>
              <w:t xml:space="preserve"> </w:t>
            </w:r>
            <w:r w:rsidR="00481594"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481594" w:rsidRPr="00481594" w:rsidRDefault="00481594"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00294805" w:rsidRPr="00294805">
              <w:rPr>
                <w:rFonts w:ascii="GHEA Grapalat" w:hAnsi="GHEA Grapalat"/>
                <w:color w:val="000000"/>
                <w:sz w:val="20"/>
                <w:szCs w:val="20"/>
                <w:lang w:val="hy-AM"/>
              </w:rPr>
              <w:t>«Յունիբանկ» ՓԲԸ</w:t>
            </w:r>
          </w:p>
          <w:p w:rsidR="00481594" w:rsidRPr="00481594" w:rsidRDefault="00481594"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00294805" w:rsidRPr="00294805">
              <w:rPr>
                <w:rFonts w:ascii="GHEA Grapalat" w:hAnsi="GHEA Grapalat"/>
                <w:color w:val="000000"/>
                <w:sz w:val="20"/>
                <w:szCs w:val="20"/>
                <w:lang w:val="hy-AM"/>
              </w:rPr>
              <w:t>24125003436000</w:t>
            </w:r>
          </w:p>
          <w:p w:rsidR="004D58B3" w:rsidRPr="00294805" w:rsidRDefault="00294805" w:rsidP="00481594">
            <w:pPr>
              <w:jc w:val="center"/>
              <w:rPr>
                <w:rFonts w:ascii="GHEA Grapalat" w:hAnsi="GHEA Grapalat"/>
                <w:sz w:val="20"/>
                <w:szCs w:val="20"/>
              </w:rPr>
            </w:pPr>
            <w:r>
              <w:rPr>
                <w:rFonts w:ascii="GHEA Grapalat" w:hAnsi="GHEA Grapalat"/>
                <w:sz w:val="20"/>
                <w:szCs w:val="20"/>
              </w:rPr>
              <w:t xml:space="preserve">Ա. </w:t>
            </w:r>
            <w:proofErr w:type="spellStart"/>
            <w:r>
              <w:rPr>
                <w:rFonts w:ascii="GHEA Grapalat" w:hAnsi="GHEA Grapalat"/>
                <w:sz w:val="20"/>
                <w:szCs w:val="20"/>
              </w:rPr>
              <w:t>Մելքոնյան</w:t>
            </w:r>
            <w:proofErr w:type="spellEnd"/>
          </w:p>
          <w:p w:rsidR="00140840" w:rsidRPr="00140840" w:rsidRDefault="00140840" w:rsidP="00140840">
            <w:pPr>
              <w:jc w:val="center"/>
              <w:rPr>
                <w:rFonts w:ascii="GHEA Grapalat" w:hAnsi="GHEA Grapalat"/>
                <w:sz w:val="20"/>
                <w:szCs w:val="20"/>
                <w:lang w:val="hy-AM"/>
              </w:rPr>
            </w:pPr>
          </w:p>
          <w:p w:rsidR="00076842" w:rsidRPr="001A4C71" w:rsidRDefault="00076842" w:rsidP="008A3CE1">
            <w:pPr>
              <w:tabs>
                <w:tab w:val="left" w:pos="1058"/>
              </w:tabs>
              <w:jc w:val="center"/>
              <w:rPr>
                <w:rFonts w:ascii="GHEA Grapalat" w:hAnsi="GHEA Grapalat"/>
                <w:sz w:val="20"/>
                <w:szCs w:val="20"/>
                <w:lang w:val="hy-AM"/>
              </w:rPr>
            </w:pP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481594">
        <w:rPr>
          <w:rFonts w:ascii="GHEA Grapalat" w:hAnsi="GHEA Grapalat"/>
          <w:color w:val="030921"/>
          <w:shd w:val="clear" w:color="auto" w:fill="FEFEFE"/>
          <w:lang w:val="hy-AM"/>
        </w:rPr>
        <w:t>Ս</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1821,6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Pr="000E1EDA"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0E1EDA" w:rsidRDefault="00AD72F4" w:rsidP="00AD72F4">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97,2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10110"/>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478,8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1144,8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9985"/>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315</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148,92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360</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2436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2487,6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158,4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w:t>
            </w:r>
            <w:r w:rsidRPr="00A60DF6">
              <w:rPr>
                <w:rFonts w:ascii="GHEA Grapalat" w:hAnsi="GHEA Grapalat"/>
                <w:color w:val="000000"/>
                <w:sz w:val="20"/>
                <w:szCs w:val="20"/>
                <w:lang w:val="hy-AM"/>
              </w:rPr>
              <w:lastRenderedPageBreak/>
              <w:t xml:space="preserve">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10104"/>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57,6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124,2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9985"/>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8284"/>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18492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23,4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238,86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w:t>
            </w:r>
            <w:r w:rsidRPr="00A60DF6">
              <w:rPr>
                <w:rFonts w:ascii="GHEA Grapalat" w:hAnsi="GHEA Grapalat"/>
                <w:color w:val="000000"/>
                <w:sz w:val="20"/>
                <w:szCs w:val="20"/>
                <w:lang w:val="hy-AM"/>
              </w:rPr>
              <w:lastRenderedPageBreak/>
              <w:t xml:space="preserve">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10069"/>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50,4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10104"/>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129,6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603D20">
        <w:trPr>
          <w:gridAfter w:val="1"/>
          <w:wAfter w:w="5689" w:type="dxa"/>
          <w:trHeight w:val="10104"/>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178,2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10058"/>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135</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9985"/>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w:t>
            </w:r>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57,6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10058"/>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520,2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AD72F4" w:rsidRPr="000E1EDA"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1093,2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w:t>
            </w:r>
            <w:r w:rsidRPr="00A60DF6">
              <w:rPr>
                <w:rFonts w:ascii="GHEA Grapalat" w:hAnsi="GHEA Grapalat"/>
                <w:color w:val="000000"/>
                <w:sz w:val="20"/>
                <w:szCs w:val="20"/>
                <w:lang w:val="hy-AM"/>
              </w:rPr>
              <w:lastRenderedPageBreak/>
              <w:t xml:space="preserve">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proofErr w:type="gramStart"/>
            <w:r w:rsidRPr="00E545B9">
              <w:rPr>
                <w:rFonts w:ascii="GHEA Grapalat" w:hAnsi="GHEA Grapalat" w:cs="Calibri"/>
                <w:sz w:val="14"/>
                <w:szCs w:val="14"/>
              </w:rPr>
              <w:t>՝  1</w:t>
            </w:r>
            <w:proofErr w:type="gramEnd"/>
            <w:r w:rsidRPr="00E545B9">
              <w:rPr>
                <w:rFonts w:ascii="GHEA Grapalat" w:hAnsi="GHEA Grapalat" w:cs="Calibri"/>
                <w:sz w:val="14"/>
                <w:szCs w:val="14"/>
              </w:rPr>
              <w:t xml:space="preserve">,5-3,5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1494,96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224,4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225,6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133,2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9985"/>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109,2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84,6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452,64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1068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338,4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16,8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105,54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1558,8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16,8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75,6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8353"/>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324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344,4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729,36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153,6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98,4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69,12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191,52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104,4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58,5</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5,328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25,728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86,4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0,144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9,72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AD72F4" w:rsidRPr="000E1EDA" w:rsidRDefault="00AD72F4" w:rsidP="00AD72F4">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79,2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B66170">
        <w:trPr>
          <w:gridAfter w:val="1"/>
          <w:wAfter w:w="5689" w:type="dxa"/>
          <w:trHeight w:val="9107"/>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3,24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0,72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w:t>
            </w:r>
            <w:r w:rsidRPr="00A60DF6">
              <w:rPr>
                <w:rFonts w:ascii="GHEA Grapalat" w:hAnsi="GHEA Grapalat"/>
                <w:color w:val="000000"/>
                <w:sz w:val="20"/>
                <w:szCs w:val="20"/>
                <w:lang w:val="hy-AM"/>
              </w:rPr>
              <w:lastRenderedPageBreak/>
              <w:t xml:space="preserve">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0,9</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7F18C4">
        <w:trPr>
          <w:gridAfter w:val="1"/>
          <w:wAfter w:w="5689" w:type="dxa"/>
        </w:trPr>
        <w:tc>
          <w:tcPr>
            <w:tcW w:w="993" w:type="dxa"/>
            <w:gridSpan w:val="2"/>
            <w:vAlign w:val="center"/>
          </w:tcPr>
          <w:p w:rsidR="00AD72F4" w:rsidRPr="00814CFC" w:rsidRDefault="00AD72F4" w:rsidP="00AD72F4">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AD72F4" w:rsidRPr="000E1EDA" w:rsidRDefault="00AD72F4" w:rsidP="00AD72F4">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AD72F4" w:rsidRDefault="00AD72F4" w:rsidP="00AD72F4">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ՀՀ Շիրակի մարզի Արթիկ համայնքի ‹‹</w:t>
            </w:r>
            <w:proofErr w:type="spellStart"/>
            <w:r>
              <w:rPr>
                <w:rFonts w:ascii="GHEA Grapalat" w:hAnsi="GHEA Grapalat"/>
                <w:color w:val="000000"/>
                <w:sz w:val="20"/>
                <w:szCs w:val="20"/>
              </w:rPr>
              <w:t>Փանիկի</w:t>
            </w:r>
            <w:proofErr w:type="spellEnd"/>
            <w:r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 </w:t>
            </w:r>
            <w:r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Pr="00294805">
              <w:rPr>
                <w:rFonts w:ascii="GHEA Grapalat" w:hAnsi="GHEA Grapalat"/>
                <w:color w:val="000000"/>
                <w:sz w:val="20"/>
                <w:szCs w:val="20"/>
                <w:lang w:val="hy-AM"/>
              </w:rPr>
              <w:t>«Յունիբանկ» ՓԲԸ</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Pr="00294805">
              <w:rPr>
                <w:rFonts w:ascii="GHEA Grapalat" w:hAnsi="GHEA Grapalat"/>
                <w:color w:val="000000"/>
                <w:sz w:val="20"/>
                <w:szCs w:val="20"/>
                <w:lang w:val="hy-AM"/>
              </w:rPr>
              <w:t>24125003436000</w:t>
            </w:r>
          </w:p>
          <w:p w:rsidR="00481594" w:rsidRPr="00481594" w:rsidRDefault="00294805" w:rsidP="00294805">
            <w:pPr>
              <w:jc w:val="center"/>
              <w:rPr>
                <w:rFonts w:ascii="GHEA Grapalat" w:hAnsi="GHEA Grapalat"/>
                <w:sz w:val="20"/>
                <w:szCs w:val="20"/>
                <w:lang w:val="hy-AM"/>
              </w:rPr>
            </w:pPr>
            <w:r>
              <w:rPr>
                <w:rFonts w:ascii="GHEA Grapalat" w:hAnsi="GHEA Grapalat"/>
                <w:sz w:val="20"/>
                <w:szCs w:val="20"/>
              </w:rPr>
              <w:t xml:space="preserve">Ա. </w:t>
            </w:r>
            <w:proofErr w:type="spellStart"/>
            <w:r>
              <w:rPr>
                <w:rFonts w:ascii="GHEA Grapalat" w:hAnsi="GHEA Grapalat"/>
                <w:sz w:val="20"/>
                <w:szCs w:val="20"/>
              </w:rPr>
              <w:t>Մելքոնյան</w:t>
            </w:r>
            <w:proofErr w:type="spellEnd"/>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bookmarkStart w:id="30" w:name="_GoBack"/>
      <w:bookmarkEnd w:id="30"/>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6E01AA"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proofErr w:type="gram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proofErr w:type="gram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ՀՀ Շիրակի մարզի Արթիկ համայնքի ‹‹</w:t>
            </w:r>
            <w:proofErr w:type="spellStart"/>
            <w:r>
              <w:rPr>
                <w:rFonts w:ascii="GHEA Grapalat" w:hAnsi="GHEA Grapalat"/>
                <w:color w:val="000000"/>
                <w:sz w:val="20"/>
                <w:szCs w:val="20"/>
              </w:rPr>
              <w:t>Փանիկի</w:t>
            </w:r>
            <w:proofErr w:type="spellEnd"/>
            <w:r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 </w:t>
            </w:r>
            <w:r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Pr="00294805">
              <w:rPr>
                <w:rFonts w:ascii="GHEA Grapalat" w:hAnsi="GHEA Grapalat"/>
                <w:color w:val="000000"/>
                <w:sz w:val="20"/>
                <w:szCs w:val="20"/>
                <w:lang w:val="hy-AM"/>
              </w:rPr>
              <w:t>«Յունիբանկ» ՓԲԸ</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Pr="00294805">
              <w:rPr>
                <w:rFonts w:ascii="GHEA Grapalat" w:hAnsi="GHEA Grapalat"/>
                <w:color w:val="000000"/>
                <w:sz w:val="20"/>
                <w:szCs w:val="20"/>
                <w:lang w:val="hy-AM"/>
              </w:rPr>
              <w:t>24125003436000</w:t>
            </w:r>
          </w:p>
          <w:p w:rsidR="00481594" w:rsidRPr="00481594" w:rsidRDefault="00294805" w:rsidP="00294805">
            <w:pPr>
              <w:jc w:val="center"/>
              <w:rPr>
                <w:rFonts w:ascii="GHEA Grapalat" w:hAnsi="GHEA Grapalat"/>
                <w:sz w:val="20"/>
                <w:szCs w:val="20"/>
                <w:lang w:val="hy-AM"/>
              </w:rPr>
            </w:pPr>
            <w:r>
              <w:rPr>
                <w:rFonts w:ascii="GHEA Grapalat" w:hAnsi="GHEA Grapalat"/>
                <w:sz w:val="20"/>
                <w:szCs w:val="20"/>
              </w:rPr>
              <w:t xml:space="preserve">Ա. </w:t>
            </w:r>
            <w:proofErr w:type="spellStart"/>
            <w:r>
              <w:rPr>
                <w:rFonts w:ascii="GHEA Grapalat" w:hAnsi="GHEA Grapalat"/>
                <w:sz w:val="20"/>
                <w:szCs w:val="20"/>
              </w:rPr>
              <w:t>Մելքոնյան</w:t>
            </w:r>
            <w:proofErr w:type="spellEnd"/>
          </w:p>
          <w:p w:rsidR="00140840" w:rsidRPr="00140840" w:rsidRDefault="00140840" w:rsidP="004D58B3">
            <w:pPr>
              <w:jc w:val="center"/>
              <w:rPr>
                <w:rFonts w:ascii="GHEA Grapalat" w:hAnsi="GHEA Grapalat"/>
                <w:sz w:val="20"/>
                <w:szCs w:val="20"/>
                <w:lang w:val="hy-AM"/>
              </w:rPr>
            </w:pPr>
          </w:p>
          <w:p w:rsidR="001A4C71" w:rsidRPr="001A4C71" w:rsidRDefault="001A4C71" w:rsidP="008A3CE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66170"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B66170" w:rsidRPr="001776D1">
        <w:rPr>
          <w:color w:val="000000"/>
          <w:sz w:val="27"/>
          <w:szCs w:val="27"/>
          <w:lang w:val="hy-AM"/>
        </w:rPr>
        <w:t>-ԳՀԱՊՁԲ</w:t>
      </w:r>
      <w:r w:rsidR="00B66170" w:rsidRPr="00076842">
        <w:rPr>
          <w:rFonts w:ascii="GHEAGrapalat" w:hAnsi="GHEAGrapalat"/>
          <w:color w:val="030921"/>
          <w:sz w:val="22"/>
          <w:szCs w:val="22"/>
          <w:shd w:val="clear" w:color="auto" w:fill="FEFEFE"/>
          <w:lang w:val="af-ZA"/>
        </w:rPr>
        <w:t xml:space="preserve"> </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01AA" w:rsidTr="007A2020">
        <w:trPr>
          <w:tblCellSpacing w:w="7" w:type="dxa"/>
          <w:jc w:val="center"/>
        </w:trPr>
        <w:tc>
          <w:tcPr>
            <w:tcW w:w="0" w:type="auto"/>
            <w:vAlign w:val="center"/>
          </w:tcPr>
          <w:p w:rsidR="0038400D" w:rsidRPr="000E1EDA" w:rsidRDefault="00AD72F4"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1"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1"/>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2" w:name="_Hlk187704942"/>
      <w:bookmarkStart w:id="33"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proofErr w:type="gram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w:t>
      </w:r>
      <w:proofErr w:type="gramEnd"/>
      <w:r w:rsidR="002935B8"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w:t>
      </w:r>
      <w:proofErr w:type="gramStart"/>
      <w:r w:rsidR="002935B8" w:rsidRPr="000E1EDA">
        <w:rPr>
          <w:rFonts w:ascii="GHEA Grapalat" w:hAnsi="GHEA Grapalat" w:cs="Sylfaen"/>
          <w:sz w:val="20"/>
          <w:szCs w:val="20"/>
          <w:lang w:val="es-ES"/>
        </w:rPr>
        <w:t xml:space="preserve">և  </w:t>
      </w:r>
      <w:r w:rsidR="002935B8" w:rsidRPr="000E1EDA">
        <w:rPr>
          <w:rFonts w:ascii="GHEA Grapalat" w:hAnsi="GHEA Grapalat"/>
          <w:sz w:val="20"/>
          <w:szCs w:val="20"/>
          <w:u w:val="single"/>
          <w:lang w:val="es-ES"/>
        </w:rPr>
        <w:tab/>
      </w:r>
      <w:proofErr w:type="gramEnd"/>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proofErr w:type="gram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w:t>
      </w:r>
      <w:proofErr w:type="gramEnd"/>
      <w:r w:rsidR="00116B1A">
        <w:rPr>
          <w:rFonts w:ascii="GHEA Grapalat" w:hAnsi="GHEA Grapalat" w:cs="Sylfaen"/>
          <w:sz w:val="20"/>
          <w:szCs w:val="20"/>
          <w:lang w:val="es-ES"/>
        </w:rPr>
        <w:t>--»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t xml:space="preserve"> </w:t>
      </w:r>
    </w:p>
    <w:bookmarkEnd w:id="32"/>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3"/>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18BB" w:rsidRDefault="001318BB">
      <w:r>
        <w:separator/>
      </w:r>
    </w:p>
  </w:endnote>
  <w:endnote w:type="continuationSeparator" w:id="0">
    <w:p w:rsidR="001318BB" w:rsidRDefault="0013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18BB" w:rsidRDefault="001318BB">
      <w:r>
        <w:separator/>
      </w:r>
    </w:p>
  </w:footnote>
  <w:footnote w:type="continuationSeparator" w:id="0">
    <w:p w:rsidR="001318BB" w:rsidRDefault="001318BB">
      <w:r>
        <w:continuationSeparator/>
      </w:r>
    </w:p>
  </w:footnote>
  <w:footnote w:id="1">
    <w:p w:rsidR="00AD72F4" w:rsidRPr="00913A96" w:rsidRDefault="00AD72F4"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D72F4" w:rsidRPr="005E0E4F" w:rsidRDefault="00AD72F4" w:rsidP="005E0E4F">
      <w:pPr>
        <w:pStyle w:val="af2"/>
        <w:rPr>
          <w:lang w:val="af-ZA"/>
        </w:rPr>
      </w:pPr>
    </w:p>
  </w:footnote>
  <w:footnote w:id="2">
    <w:p w:rsidR="00AD72F4" w:rsidRPr="001F3550" w:rsidRDefault="00AD72F4"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AD72F4" w:rsidRPr="00AE4C57" w:rsidRDefault="00AD72F4"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AD72F4" w:rsidRPr="00DD24B8" w:rsidRDefault="00AD72F4"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AD72F4" w:rsidRPr="00EB2629" w:rsidRDefault="00AD72F4"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AD72F4" w:rsidRPr="00EB2629" w:rsidRDefault="00AD72F4"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AD72F4" w:rsidRPr="00AE4C57" w:rsidRDefault="00AD72F4"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AD72F4" w:rsidRDefault="00AD72F4"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AD72F4" w:rsidRDefault="00AD72F4"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AD72F4" w:rsidRPr="005E2581" w:rsidRDefault="00AD72F4"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AD72F4" w:rsidRPr="005E0E4F" w:rsidRDefault="00AD72F4">
      <w:pPr>
        <w:pStyle w:val="af2"/>
      </w:pPr>
      <w:r>
        <w:t xml:space="preserve"> </w:t>
      </w:r>
    </w:p>
  </w:footnote>
  <w:footnote w:id="4">
    <w:p w:rsidR="00AD72F4" w:rsidRPr="005306F3" w:rsidRDefault="00AD72F4"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AD72F4" w:rsidRPr="00DD24B8" w:rsidRDefault="00AD72F4"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AD72F4" w:rsidRPr="008B0346" w:rsidRDefault="00AD72F4"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AD72F4" w:rsidRPr="00962AC7" w:rsidRDefault="00AD72F4">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AD72F4" w:rsidRPr="00170017" w:rsidRDefault="00AD72F4"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AD72F4" w:rsidRPr="008B0346" w:rsidRDefault="00AD72F4"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AD72F4" w:rsidRPr="006A626F" w:rsidRDefault="00AD72F4"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AD72F4" w:rsidRPr="002D5BB0" w:rsidRDefault="00AD72F4">
      <w:pPr>
        <w:pStyle w:val="af2"/>
        <w:rPr>
          <w:lang w:val="af-ZA"/>
        </w:rPr>
      </w:pPr>
    </w:p>
  </w:footnote>
  <w:footnote w:id="9">
    <w:p w:rsidR="00AD72F4" w:rsidRPr="00CC4AB3" w:rsidRDefault="00AD72F4"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AD72F4" w:rsidRPr="00181BC7" w:rsidRDefault="00AD72F4"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AD72F4" w:rsidRPr="002D5BB0" w:rsidRDefault="00AD72F4">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AD72F4" w:rsidRPr="0080329A" w:rsidRDefault="00AD72F4">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AD72F4" w:rsidRPr="0080329A" w:rsidRDefault="00AD72F4">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AD72F4" w:rsidRPr="001F3550" w:rsidRDefault="00AD72F4"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D72F4" w:rsidRPr="001F3550" w:rsidRDefault="00AD72F4"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AD72F4" w:rsidRPr="008C2DF1" w:rsidRDefault="00AD72F4"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D72F4" w:rsidRPr="00ED3AD7" w:rsidRDefault="00AD72F4"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AD72F4" w:rsidRPr="00ED3AD7" w:rsidRDefault="00AD72F4"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AD72F4" w:rsidRPr="00ED3AD7" w:rsidRDefault="00AD72F4"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AD72F4" w:rsidRPr="008C2DF1" w:rsidRDefault="00AD72F4">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AD72F4" w:rsidRPr="006A626F" w:rsidRDefault="00AD72F4"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AD72F4" w:rsidRPr="006A626F" w:rsidRDefault="00AD72F4"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AD72F4" w:rsidRPr="001B131A" w:rsidRDefault="00AD72F4"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AD72F4" w:rsidRPr="00F13554" w:rsidRDefault="00AD72F4"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AD72F4" w:rsidRPr="0011077B" w:rsidRDefault="00AD72F4">
      <w:pPr>
        <w:pStyle w:val="af2"/>
        <w:rPr>
          <w:rFonts w:ascii="Sylfaen" w:hAnsi="Sylfaen"/>
          <w:lang w:val="hy-AM"/>
        </w:rPr>
      </w:pPr>
    </w:p>
  </w:footnote>
  <w:footnote w:id="18">
    <w:p w:rsidR="00AD72F4" w:rsidRPr="00181BC7" w:rsidRDefault="00AD72F4"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AD72F4" w:rsidRPr="00471D64" w:rsidRDefault="00AD72F4">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AD72F4" w:rsidRPr="00181BC7" w:rsidRDefault="00AD72F4">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AD72F4" w:rsidRPr="00AD7E9C" w:rsidRDefault="00AD72F4"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AD72F4" w:rsidRPr="00AD7E9C" w:rsidRDefault="00AD72F4"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AD72F4" w:rsidRPr="00AD7E9C" w:rsidRDefault="00AD72F4"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AD72F4" w:rsidRPr="00AD7E9C" w:rsidRDefault="00AD72F4"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AD72F4" w:rsidRPr="00AD7E9C" w:rsidRDefault="00AD72F4"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AD72F4" w:rsidRPr="00AD7E9C" w:rsidRDefault="00AD72F4" w:rsidP="009A5836">
      <w:pPr>
        <w:pStyle w:val="af2"/>
        <w:rPr>
          <w:rFonts w:ascii="GHEA Grapalat" w:hAnsi="GHEA Grapalat"/>
          <w:i/>
          <w:sz w:val="16"/>
          <w:szCs w:val="16"/>
          <w:lang w:val="hy-AM"/>
        </w:rPr>
      </w:pPr>
    </w:p>
    <w:p w:rsidR="00AD72F4" w:rsidRPr="004212F1" w:rsidRDefault="00AD72F4">
      <w:pPr>
        <w:pStyle w:val="af2"/>
        <w:rPr>
          <w:rFonts w:ascii="GHEA Grapalat" w:hAnsi="GHEA Grapalat"/>
          <w:lang w:val="hy-AM"/>
        </w:rPr>
      </w:pPr>
    </w:p>
  </w:footnote>
  <w:footnote w:id="22">
    <w:p w:rsidR="00AD72F4" w:rsidRPr="00181BC7" w:rsidRDefault="00AD72F4">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AD72F4" w:rsidRPr="001D3B01" w:rsidRDefault="00AD72F4">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AD72F4" w:rsidRPr="00181BC7" w:rsidRDefault="00AD72F4">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AD72F4" w:rsidRPr="001D3B01" w:rsidRDefault="00AD72F4">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AD72F4" w:rsidRPr="002A4619" w:rsidRDefault="00AD72F4"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D72F4" w:rsidRPr="00181BC7" w:rsidRDefault="00AD72F4"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AD72F4" w:rsidRPr="004C75A4" w:rsidRDefault="00AD72F4">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AD72F4" w:rsidRPr="00181BC7" w:rsidRDefault="00AD72F4">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AD72F4" w:rsidRPr="0027235A" w:rsidRDefault="00AD72F4">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AD72F4" w:rsidRPr="00B202F5" w:rsidRDefault="00AD72F4">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AD72F4" w:rsidRPr="001D7907" w:rsidRDefault="00AD72F4">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AD72F4" w:rsidRPr="00181BC7" w:rsidRDefault="00AD72F4">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B0B"/>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8BB"/>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840"/>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6CCF"/>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805"/>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68CF"/>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4E0F"/>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918"/>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1594"/>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8B3"/>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C34"/>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2F4"/>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1AA"/>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111"/>
    <w:rsid w:val="00771A7D"/>
    <w:rsid w:val="00771A92"/>
    <w:rsid w:val="00771C0F"/>
    <w:rsid w:val="00771D41"/>
    <w:rsid w:val="00771DCB"/>
    <w:rsid w:val="00772220"/>
    <w:rsid w:val="0077225F"/>
    <w:rsid w:val="00772280"/>
    <w:rsid w:val="00772F69"/>
    <w:rsid w:val="00773485"/>
    <w:rsid w:val="0077364F"/>
    <w:rsid w:val="00774C67"/>
    <w:rsid w:val="0077504D"/>
    <w:rsid w:val="00775CD1"/>
    <w:rsid w:val="007760A5"/>
    <w:rsid w:val="007765F6"/>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3BC"/>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3CE1"/>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CEB"/>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2F4"/>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8D4"/>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BAB"/>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607"/>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900"/>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38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2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17FDE"/>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876ED"/>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450C8C"/>
  <w15:docId w15:val="{A46287C4-BFC4-4002-B0FE-AA6BCD22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ki.mankaparte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niki.manka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2DD46-0AD8-4E6D-97A8-F31FB1EE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168</Pages>
  <Words>58095</Words>
  <Characters>331142</Characters>
  <Application>Microsoft Office Word</Application>
  <DocSecurity>0</DocSecurity>
  <Lines>2759</Lines>
  <Paragraphs>776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388461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13</cp:revision>
  <cp:lastPrinted>2018-02-16T07:12:00Z</cp:lastPrinted>
  <dcterms:created xsi:type="dcterms:W3CDTF">2025-12-10T19:24:00Z</dcterms:created>
  <dcterms:modified xsi:type="dcterms:W3CDTF">2025-12-12T10:55:00Z</dcterms:modified>
</cp:coreProperties>
</file>