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1D1D7819"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5C18D0" w:rsidRPr="008B6B17">
        <w:rPr>
          <w:rFonts w:ascii="GHEA Grapalat" w:hAnsi="GHEA Grapalat"/>
          <w:b/>
          <w:sz w:val="20"/>
          <w:szCs w:val="20"/>
          <w:lang w:val="af-ZA"/>
        </w:rPr>
        <w:t>”</w:t>
      </w:r>
      <w:r w:rsidR="00CE2BC8" w:rsidRPr="00CE2BC8">
        <w:rPr>
          <w:rFonts w:ascii="GHEA Grapalat" w:hAnsi="GHEA Grapalat"/>
          <w:sz w:val="20"/>
          <w:szCs w:val="20"/>
          <w:lang w:val="en-US"/>
        </w:rPr>
        <w:t>10</w:t>
      </w:r>
      <w:r w:rsidR="005C18D0" w:rsidRPr="008B6B17">
        <w:rPr>
          <w:rFonts w:ascii="GHEA Grapalat" w:hAnsi="GHEA Grapalat"/>
          <w:b/>
          <w:sz w:val="20"/>
          <w:szCs w:val="20"/>
          <w:lang w:val="af-ZA"/>
        </w:rPr>
        <w:t>”</w:t>
      </w:r>
      <w:r w:rsidR="005C18D0">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936B2D">
        <w:rPr>
          <w:rFonts w:ascii="GHEA Grapalat" w:hAnsi="GHEA Grapalat"/>
          <w:sz w:val="20"/>
          <w:szCs w:val="20"/>
          <w:lang w:val="af-ZA"/>
        </w:rPr>
        <w:t>march</w:t>
      </w:r>
      <w:r w:rsidR="005C18D0"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FB0A53" w:rsidRPr="008B6B17">
        <w:rPr>
          <w:rFonts w:ascii="GHEA Grapalat" w:hAnsi="GHEA Grapalat"/>
          <w:sz w:val="20"/>
          <w:szCs w:val="20"/>
          <w:lang w:val="af-ZA"/>
        </w:rPr>
        <w:t>202</w:t>
      </w:r>
      <w:r w:rsidR="005C18D0">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24C1F1E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0839BD" w:rsidRPr="005C18D0">
        <w:rPr>
          <w:rFonts w:ascii="GHEA Grapalat" w:hAnsi="GHEA Grapalat"/>
          <w:b/>
          <w:bCs/>
          <w:iCs/>
          <w:sz w:val="20"/>
          <w:szCs w:val="20"/>
          <w:lang w:val="hy-AM"/>
        </w:rPr>
        <w:t>ՀՀՓԿ-ԳՀԾՁԲ-</w:t>
      </w:r>
      <w:r w:rsidR="00C3238D" w:rsidRPr="005C18D0">
        <w:rPr>
          <w:rFonts w:ascii="GHEA Grapalat" w:hAnsi="GHEA Grapalat"/>
          <w:b/>
          <w:bCs/>
          <w:iCs/>
          <w:sz w:val="20"/>
          <w:szCs w:val="20"/>
          <w:lang w:val="hy-AM"/>
        </w:rPr>
        <w:t>0</w:t>
      </w:r>
      <w:r w:rsidR="00936B2D">
        <w:rPr>
          <w:rFonts w:ascii="GHEA Grapalat" w:hAnsi="GHEA Grapalat"/>
          <w:b/>
          <w:bCs/>
          <w:iCs/>
          <w:sz w:val="20"/>
          <w:szCs w:val="20"/>
          <w:lang w:val="hy-AM"/>
        </w:rPr>
        <w:t>7</w:t>
      </w:r>
      <w:r w:rsidR="00C3238D" w:rsidRPr="005C18D0">
        <w:rPr>
          <w:rFonts w:ascii="GHEA Grapalat" w:hAnsi="GHEA Grapalat"/>
          <w:b/>
          <w:bCs/>
          <w:iCs/>
          <w:sz w:val="20"/>
          <w:szCs w:val="20"/>
          <w:lang w:val="hy-AM"/>
        </w:rPr>
        <w:t>/26</w:t>
      </w:r>
      <w:r w:rsidR="005C18D0" w:rsidRPr="008B6B17">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438462D7" w14:textId="77777777" w:rsidR="00CE2BC8" w:rsidRDefault="00E8569F" w:rsidP="00CE2BC8">
      <w:pPr>
        <w:pStyle w:val="BodyTextIndent"/>
        <w:spacing w:line="240" w:lineRule="auto"/>
        <w:ind w:firstLine="0"/>
        <w:rPr>
          <w:rFonts w:ascii="GHEA Grapalat" w:hAnsi="GHEA Grapalat" w:cs="GHEA Grapalat"/>
          <w:i w:val="0"/>
          <w:lang w:val="af-ZA"/>
        </w:rPr>
      </w:pPr>
      <w:r w:rsidRPr="008B6B17">
        <w:rPr>
          <w:rFonts w:ascii="GHEA Grapalat" w:hAnsi="GHEA Grapalat"/>
          <w:lang w:val="af-ZA"/>
        </w:rPr>
        <w:tab/>
      </w:r>
      <w:r w:rsidR="00CE2BC8">
        <w:rPr>
          <w:rFonts w:ascii="GHEA Grapalat" w:hAnsi="GHEA Grapalat" w:cs="GHEA Grapalat"/>
          <w:i w:val="0"/>
          <w:lang w:val="af-ZA"/>
        </w:rPr>
        <w:t xml:space="preserve">Pricing survey </w:t>
      </w:r>
      <w:r w:rsidR="00CE2BC8">
        <w:rPr>
          <w:rFonts w:ascii="GHEA Grapalat" w:hAnsi="GHEA Grapalat" w:cs="GHEA Grapalat"/>
          <w:i w:val="0"/>
          <w:lang w:val="hy-AM"/>
        </w:rPr>
        <w:t xml:space="preserve">the participant will be asked to sign a set of selected </w:t>
      </w:r>
      <w:r w:rsidR="00CE2BC8">
        <w:rPr>
          <w:rFonts w:ascii="GHEA Grapalat" w:hAnsi="GHEA Grapalat" w:cs="Sylfaen"/>
          <w:i w:val="0"/>
          <w:lang w:val="es-ES"/>
        </w:rPr>
        <w:t>Uninterruptible power supplies repair</w:t>
      </w:r>
      <w:r w:rsidR="00CE2BC8">
        <w:rPr>
          <w:rFonts w:ascii="GHEA Grapalat" w:hAnsi="GHEA Grapalat" w:cs="GHEA Grapalat"/>
          <w:i w:val="0"/>
          <w:lang w:val="af-ZA"/>
        </w:rPr>
        <w:t xml:space="preserve"> service contract (the contract). </w:t>
      </w:r>
    </w:p>
    <w:p w14:paraId="2903EDDE" w14:textId="48D09996"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1DF709A"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In order to receive the hard copy of the invitation of the request for quotation it is required to apply to the procuring entity before day</w:t>
      </w:r>
      <w:r w:rsidR="00936B2D">
        <w:rPr>
          <w:rFonts w:ascii="GHEA Grapalat" w:hAnsi="GHEA Grapalat"/>
          <w:sz w:val="20"/>
          <w:szCs w:val="20"/>
          <w:lang w:val="af-ZA"/>
        </w:rPr>
        <w:t xml:space="preserve"> </w:t>
      </w:r>
      <w:r w:rsidR="00CE2BC8" w:rsidRPr="00001337">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C3238D" w:rsidRPr="00C3238D">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239D2D22"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936B2D">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7BABFE4F"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5C18D0" w:rsidRPr="008B6B17">
        <w:rPr>
          <w:rFonts w:ascii="GHEA Grapalat" w:hAnsi="GHEA Grapalat"/>
          <w:b/>
          <w:sz w:val="20"/>
          <w:szCs w:val="20"/>
          <w:lang w:val="af-ZA"/>
        </w:rPr>
        <w:t>”</w:t>
      </w:r>
      <w:r w:rsidR="00936B2D">
        <w:rPr>
          <w:rFonts w:ascii="GHEA Grapalat" w:hAnsi="GHEA Grapalat"/>
          <w:b/>
          <w:sz w:val="20"/>
          <w:szCs w:val="20"/>
          <w:lang w:val="en-US"/>
        </w:rPr>
        <w:t>2</w:t>
      </w:r>
      <w:r w:rsidR="00001337">
        <w:rPr>
          <w:rFonts w:ascii="GHEA Grapalat" w:hAnsi="GHEA Grapalat"/>
          <w:b/>
          <w:sz w:val="20"/>
          <w:szCs w:val="20"/>
          <w:lang w:val="en-US"/>
        </w:rPr>
        <w:t>5</w:t>
      </w:r>
      <w:r w:rsidRPr="008B6B17">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936B2D">
        <w:rPr>
          <w:rFonts w:ascii="GHEA Grapalat" w:hAnsi="GHEA Grapalat"/>
          <w:sz w:val="20"/>
          <w:szCs w:val="20"/>
          <w:lang w:val="en-US"/>
        </w:rPr>
        <w:t>march</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C3238D">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8B6B17" w:rsidRDefault="00E8569F" w:rsidP="00C3238D">
      <w:pPr>
        <w:spacing w:line="360" w:lineRule="auto"/>
        <w:ind w:firstLine="708"/>
        <w:jc w:val="both"/>
        <w:rPr>
          <w:rFonts w:ascii="GHEA Grapalat" w:hAnsi="GHEA Grapalat"/>
          <w:sz w:val="20"/>
          <w:szCs w:val="20"/>
          <w:lang w:val="en-US"/>
        </w:rPr>
      </w:pPr>
      <w:r w:rsidRPr="008B6B17">
        <w:rPr>
          <w:rFonts w:ascii="GHEA Grapalat" w:hAnsi="GHEA Grapalat"/>
          <w:sz w:val="20"/>
          <w:szCs w:val="20"/>
          <w:lang w:val="af-ZA"/>
        </w:rPr>
        <w:t xml:space="preserve">Telephone </w:t>
      </w:r>
      <w:r w:rsidR="00C3238D" w:rsidRPr="0079616D">
        <w:rPr>
          <w:rFonts w:ascii="GHEA Grapalat" w:hAnsi="GHEA Grapalat"/>
          <w:b/>
          <w:bCs/>
          <w:lang w:val="af-ZA"/>
        </w:rPr>
        <w:t>099-45-44-55</w:t>
      </w:r>
    </w:p>
    <w:p w14:paraId="273BFE4B" w14:textId="01544373" w:rsidR="0047471E" w:rsidRPr="008B6B17" w:rsidRDefault="00E8569F" w:rsidP="00C3238D">
      <w:pPr>
        <w:spacing w:line="360" w:lineRule="auto"/>
        <w:ind w:firstLine="720"/>
        <w:jc w:val="both"/>
        <w:rPr>
          <w:rFonts w:ascii="GHEA Grapalat" w:eastAsia="Calibri" w:hAnsi="GHEA Grapalat"/>
          <w:b/>
          <w:sz w:val="20"/>
          <w:szCs w:val="20"/>
          <w:lang w:val="en-US" w:bidi="en-GB"/>
        </w:rPr>
      </w:pPr>
      <w:r w:rsidRPr="008B6B17">
        <w:rPr>
          <w:rFonts w:ascii="GHEA Grapalat" w:hAnsi="GHEA Grapalat"/>
          <w:sz w:val="20"/>
          <w:szCs w:val="20"/>
          <w:lang w:val="af-ZA"/>
        </w:rPr>
        <w:t>Email</w:t>
      </w:r>
      <w:r w:rsidR="0047471E" w:rsidRPr="008B6B17">
        <w:rPr>
          <w:rFonts w:ascii="GHEA Grapalat" w:hAnsi="GHEA Grapalat"/>
          <w:sz w:val="20"/>
          <w:szCs w:val="20"/>
          <w:lang w:val="af-ZA"/>
        </w:rPr>
        <w:t xml:space="preserve">: </w:t>
      </w:r>
      <w:r w:rsidR="0047471E" w:rsidRPr="008B6B17">
        <w:rPr>
          <w:rFonts w:ascii="GHEA Grapalat" w:hAnsi="GHEA Grapalat"/>
          <w:bCs/>
          <w:sz w:val="20"/>
          <w:szCs w:val="20"/>
          <w:shd w:val="clear" w:color="auto" w:fill="F4F4F4"/>
          <w:lang w:val="en-US"/>
        </w:rPr>
        <w:t>gnumner@justexpert.am</w:t>
      </w:r>
    </w:p>
    <w:p w14:paraId="66F53785" w14:textId="5570EF45" w:rsidR="00694595" w:rsidRPr="008B6B17" w:rsidRDefault="00E8569F" w:rsidP="00C3238D">
      <w:pPr>
        <w:spacing w:line="360" w:lineRule="auto"/>
        <w:ind w:firstLine="708"/>
        <w:jc w:val="both"/>
        <w:rPr>
          <w:rFonts w:ascii="GHEA Grapalat" w:hAnsi="GHEA Grapalat"/>
          <w:b/>
          <w:sz w:val="20"/>
          <w:szCs w:val="20"/>
          <w:lang w:val="en-US"/>
        </w:rPr>
      </w:pPr>
      <w:r w:rsidRPr="008B6B17">
        <w:rPr>
          <w:rFonts w:ascii="GHEA Grapalat" w:hAnsi="GHEA Grapalat"/>
          <w:sz w:val="20"/>
          <w:szCs w:val="20"/>
          <w:lang w:val="af-ZA"/>
        </w:rPr>
        <w:t xml:space="preserve">Procuring entity </w:t>
      </w:r>
      <w:r w:rsidR="00694595" w:rsidRPr="008B6B17">
        <w:rPr>
          <w:rFonts w:ascii="GHEA Grapalat" w:hAnsi="GHEA Grapalat"/>
          <w:b/>
          <w:sz w:val="20"/>
          <w:szCs w:val="20"/>
          <w:lang w:val="hy-AM"/>
        </w:rPr>
        <w:t>«</w:t>
      </w:r>
      <w:r w:rsidR="00694595" w:rsidRPr="008B6B17">
        <w:rPr>
          <w:rFonts w:ascii="GHEA Grapalat" w:hAnsi="GHEA Grapalat"/>
          <w:b/>
          <w:sz w:val="20"/>
          <w:szCs w:val="20"/>
          <w:lang w:val="en-AU"/>
        </w:rPr>
        <w:t xml:space="preserve">EXPERTISE CENTER OF THE REPUBLIC OF ARMENIA» </w:t>
      </w:r>
      <w:r w:rsidR="00694595" w:rsidRPr="008B6B17">
        <w:rPr>
          <w:rFonts w:ascii="GHEA Grapalat" w:hAnsi="GHEA Grapalat"/>
          <w:b/>
          <w:sz w:val="20"/>
          <w:szCs w:val="20"/>
          <w:lang w:val="af-ZA" w:bidi="en-GB"/>
        </w:rPr>
        <w:t xml:space="preserve">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01337"/>
    <w:rsid w:val="00030A92"/>
    <w:rsid w:val="00032C8F"/>
    <w:rsid w:val="0004018A"/>
    <w:rsid w:val="000839BD"/>
    <w:rsid w:val="0009502C"/>
    <w:rsid w:val="000D6930"/>
    <w:rsid w:val="000E40CC"/>
    <w:rsid w:val="00102D4E"/>
    <w:rsid w:val="00150763"/>
    <w:rsid w:val="00193145"/>
    <w:rsid w:val="001965F9"/>
    <w:rsid w:val="001B3575"/>
    <w:rsid w:val="001F1D80"/>
    <w:rsid w:val="001F6CBF"/>
    <w:rsid w:val="00246ED7"/>
    <w:rsid w:val="00250DC4"/>
    <w:rsid w:val="002A5D36"/>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C18D0"/>
    <w:rsid w:val="005E0697"/>
    <w:rsid w:val="005E66F4"/>
    <w:rsid w:val="005F29AD"/>
    <w:rsid w:val="00620B79"/>
    <w:rsid w:val="006466F0"/>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36B2D"/>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E2BC8"/>
    <w:rsid w:val="00D1406F"/>
    <w:rsid w:val="00D349A8"/>
    <w:rsid w:val="00D44F90"/>
    <w:rsid w:val="00D933BE"/>
    <w:rsid w:val="00D97E9B"/>
    <w:rsid w:val="00DF2F3E"/>
    <w:rsid w:val="00E30571"/>
    <w:rsid w:val="00E34C7D"/>
    <w:rsid w:val="00E817C8"/>
    <w:rsid w:val="00E84FD6"/>
    <w:rsid w:val="00E8569F"/>
    <w:rsid w:val="00EE7A2E"/>
    <w:rsid w:val="00F21E42"/>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 w:type="paragraph" w:styleId="BodyTextIndent">
    <w:name w:val="Body Text Indent"/>
    <w:basedOn w:val="Normal"/>
    <w:link w:val="BodyTextIndentChar"/>
    <w:rsid w:val="00CE2BC8"/>
    <w:pPr>
      <w:suppressAutoHyphens/>
      <w:spacing w:line="360" w:lineRule="auto"/>
      <w:ind w:firstLine="720"/>
      <w:jc w:val="both"/>
    </w:pPr>
    <w:rPr>
      <w:rFonts w:ascii="Arial LatArm" w:hAnsi="Arial LatArm" w:cs="Arial LatArm"/>
      <w:i/>
      <w:color w:val="00000A"/>
      <w:kern w:val="1"/>
      <w:sz w:val="20"/>
      <w:szCs w:val="20"/>
      <w:lang w:val="en-AU" w:eastAsia="zh-CN" w:bidi="ar-SA"/>
    </w:rPr>
  </w:style>
  <w:style w:type="character" w:customStyle="1" w:styleId="BodyTextIndentChar">
    <w:name w:val="Body Text Indent Char"/>
    <w:basedOn w:val="DefaultParagraphFont"/>
    <w:link w:val="BodyTextIndent"/>
    <w:rsid w:val="00CE2BC8"/>
    <w:rPr>
      <w:rFonts w:ascii="Arial LatArm" w:eastAsia="Times New Roman" w:hAnsi="Arial LatArm" w:cs="Arial LatArm"/>
      <w:i/>
      <w:color w:val="00000A"/>
      <w:kern w:val="1"/>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https://mul2-moj.gov.am/tasks/1138878/oneclick?token=f5fc644533261b1d73ad6d156a1b5f6d</cp:keywords>
  <dc:description/>
  <cp:lastModifiedBy>Пользователь</cp:lastModifiedBy>
  <cp:revision>169</cp:revision>
  <dcterms:created xsi:type="dcterms:W3CDTF">2024-05-10T11:05:00Z</dcterms:created>
  <dcterms:modified xsi:type="dcterms:W3CDTF">2026-03-17T05:41:00Z</dcterms:modified>
</cp:coreProperties>
</file>