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3AC69" w14:textId="77777777"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ՀԱՅՏԱՐԱՐՈՒԹՅՈՒՆ</w:t>
      </w:r>
    </w:p>
    <w:p w14:paraId="47EA13DB" w14:textId="77777777" w:rsidR="004D4258" w:rsidRPr="00CA0534" w:rsidRDefault="004D4258" w:rsidP="004D4258">
      <w:pPr>
        <w:pStyle w:val="af3"/>
        <w:jc w:val="center"/>
        <w:rPr>
          <w:rFonts w:ascii="GHEA Grapalat" w:hAnsi="GHEA Grapalat"/>
          <w:lang w:val="af-ZA"/>
        </w:rPr>
      </w:pPr>
      <w:r w:rsidRPr="00CA0534">
        <w:rPr>
          <w:rFonts w:ascii="GHEA Grapalat" w:hAnsi="GHEA Grapalat"/>
          <w:lang w:val="af-ZA"/>
        </w:rPr>
        <w:t>ՆԱԽԱՈՐԱԿԱՎՈՐՄԱՆ ԸՆԹԱՑԱԿԱՐԳԻ ՄԱՍԻՆ</w:t>
      </w:r>
    </w:p>
    <w:p w14:paraId="7A089EFB" w14:textId="0C9231B3" w:rsidR="004D4258" w:rsidRPr="00CA0534" w:rsidRDefault="004D4258" w:rsidP="004D4258">
      <w:pPr>
        <w:rPr>
          <w:rFonts w:ascii="GHEA Grapalat" w:hAnsi="GHEA Grapalat" w:cs="Sylfaen"/>
          <w:b/>
          <w:bCs/>
          <w:noProof w:val="0"/>
          <w:color w:val="FF0000"/>
        </w:rPr>
      </w:pPr>
      <w:r w:rsidRPr="00CA0534">
        <w:rPr>
          <w:rFonts w:ascii="GHEA Grapalat" w:hAnsi="GHEA Grapalat" w:cs="Sylfaen"/>
          <w:b/>
          <w:bCs/>
          <w:color w:val="FF0000"/>
        </w:rPr>
        <w:t xml:space="preserve">Գնման ընթացակարգը կազմակերպվում է ՀՀ գնումների մասին օրենքի 15-րդ հոդվածի 6-րդ կետի </w:t>
      </w:r>
      <w:r w:rsidR="0001431C">
        <w:rPr>
          <w:rFonts w:ascii="GHEA Grapalat" w:hAnsi="GHEA Grapalat" w:cs="Sylfaen"/>
          <w:b/>
          <w:bCs/>
          <w:color w:val="FF0000"/>
        </w:rPr>
        <w:t>2-րդ</w:t>
      </w:r>
      <w:r w:rsidRPr="00CA0534">
        <w:rPr>
          <w:rFonts w:ascii="GHEA Grapalat" w:hAnsi="GHEA Grapalat" w:cs="Sylfaen"/>
          <w:b/>
          <w:bCs/>
          <w:color w:val="FF0000"/>
        </w:rPr>
        <w:t xml:space="preserve"> ենթակետի  համաձայն, քանի որ գնման առարկայի մ</w:t>
      </w:r>
      <w:r w:rsidR="00437223">
        <w:rPr>
          <w:rFonts w:ascii="GHEA Grapalat" w:hAnsi="GHEA Grapalat" w:cs="Sylfaen"/>
          <w:b/>
          <w:bCs/>
          <w:color w:val="FF0000"/>
        </w:rPr>
        <w:t xml:space="preserve">ասով հաստատված չեն ֆինանսական </w:t>
      </w:r>
      <w:r w:rsidRPr="00CA0534">
        <w:rPr>
          <w:rFonts w:ascii="GHEA Grapalat" w:hAnsi="GHEA Grapalat" w:cs="Sylfaen"/>
          <w:b/>
          <w:bCs/>
          <w:color w:val="FF0000"/>
        </w:rPr>
        <w:t>միջոցներ։</w:t>
      </w:r>
    </w:p>
    <w:p w14:paraId="37C80F00" w14:textId="77777777" w:rsidR="004D4258" w:rsidRPr="00CA0534" w:rsidRDefault="004D4258" w:rsidP="004D4258">
      <w:pPr>
        <w:pStyle w:val="af3"/>
        <w:jc w:val="center"/>
        <w:rPr>
          <w:rFonts w:ascii="GHEA Grapalat" w:hAnsi="GHEA Grapalat"/>
          <w:i/>
        </w:rPr>
      </w:pPr>
    </w:p>
    <w:p w14:paraId="10F44ABF" w14:textId="77777777" w:rsidR="004D4258" w:rsidRPr="00CA0534" w:rsidRDefault="004D4258" w:rsidP="004D4258">
      <w:pPr>
        <w:pStyle w:val="af3"/>
        <w:jc w:val="center"/>
        <w:rPr>
          <w:rFonts w:ascii="GHEA Grapalat" w:hAnsi="GHEA Grapalat"/>
          <w:i/>
          <w:color w:val="FF0000"/>
          <w:lang w:val="af-ZA"/>
        </w:rPr>
      </w:pPr>
    </w:p>
    <w:p w14:paraId="06E42967" w14:textId="7F3E40B3" w:rsidR="004D4258" w:rsidRPr="00CA0534" w:rsidRDefault="004D4258" w:rsidP="004D4258">
      <w:pPr>
        <w:pStyle w:val="af3"/>
        <w:jc w:val="center"/>
        <w:rPr>
          <w:rFonts w:ascii="GHEA Grapalat" w:hAnsi="GHEA Grapalat"/>
          <w:i/>
          <w:lang w:val="af-ZA"/>
        </w:rPr>
      </w:pPr>
      <w:r w:rsidRPr="00D1403C">
        <w:rPr>
          <w:rFonts w:ascii="GHEA Grapalat" w:hAnsi="GHEA Grapalat"/>
          <w:lang w:val="af-ZA"/>
        </w:rPr>
        <w:t xml:space="preserve">Հայտարարության սույն տեքստը հաստատված է </w:t>
      </w:r>
      <w:r w:rsidRPr="00D1403C">
        <w:rPr>
          <w:rFonts w:ascii="GHEA Grapalat" w:hAnsi="GHEA Grapalat"/>
        </w:rPr>
        <w:t xml:space="preserve">բաց մրցույթի </w:t>
      </w:r>
      <w:r w:rsidRPr="00D1403C">
        <w:rPr>
          <w:rFonts w:ascii="GHEA Grapalat" w:hAnsi="GHEA Grapalat"/>
          <w:lang w:val="af-ZA"/>
        </w:rPr>
        <w:t xml:space="preserve"> գնահատող հանձնաժողովի 202</w:t>
      </w:r>
      <w:r w:rsidR="00730F87" w:rsidRPr="00D1403C">
        <w:rPr>
          <w:rFonts w:ascii="GHEA Grapalat" w:hAnsi="GHEA Grapalat"/>
          <w:lang w:val="af-ZA"/>
        </w:rPr>
        <w:t>6</w:t>
      </w:r>
      <w:r w:rsidRPr="00D1403C">
        <w:rPr>
          <w:rFonts w:ascii="GHEA Grapalat" w:hAnsi="GHEA Grapalat"/>
          <w:lang w:val="af-ZA"/>
        </w:rPr>
        <w:t xml:space="preserve">  թվականի </w:t>
      </w:r>
      <w:r w:rsidR="00730F87" w:rsidRPr="00D1403C">
        <w:rPr>
          <w:rFonts w:ascii="GHEA Grapalat" w:hAnsi="GHEA Grapalat"/>
          <w:lang w:val="af-ZA"/>
        </w:rPr>
        <w:t xml:space="preserve">մայիսի    </w:t>
      </w:r>
      <w:r w:rsidR="00D1403C" w:rsidRPr="00D1403C">
        <w:rPr>
          <w:rFonts w:ascii="GHEA Grapalat" w:hAnsi="GHEA Grapalat"/>
        </w:rPr>
        <w:t>11</w:t>
      </w:r>
      <w:r w:rsidR="00730F87" w:rsidRPr="00D1403C">
        <w:rPr>
          <w:rFonts w:ascii="GHEA Grapalat" w:hAnsi="GHEA Grapalat"/>
          <w:lang w:val="af-ZA"/>
        </w:rPr>
        <w:t xml:space="preserve"> </w:t>
      </w:r>
      <w:r w:rsidR="009E413B" w:rsidRPr="00D1403C">
        <w:rPr>
          <w:rFonts w:ascii="GHEA Grapalat" w:hAnsi="GHEA Grapalat"/>
        </w:rPr>
        <w:t>-ի</w:t>
      </w:r>
      <w:r w:rsidRPr="00D1403C">
        <w:rPr>
          <w:rFonts w:ascii="GHEA Grapalat" w:hAnsi="GHEA Grapalat"/>
          <w:color w:val="FF0000"/>
          <w:lang w:val="af-ZA"/>
        </w:rPr>
        <w:t xml:space="preserve"> </w:t>
      </w:r>
      <w:r w:rsidRPr="00D1403C">
        <w:rPr>
          <w:rFonts w:ascii="GHEA Grapalat" w:hAnsi="GHEA Grapalat"/>
          <w:lang w:val="af-ZA"/>
        </w:rPr>
        <w:t>թիվ 1 որոշմամբ և հրապարակվում է</w:t>
      </w:r>
    </w:p>
    <w:p w14:paraId="7A1507BE" w14:textId="77777777"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«Գնումների մասին» ՀՀ օրենքի 24-րդ հոդվածի համաձայն</w:t>
      </w:r>
    </w:p>
    <w:p w14:paraId="13D6EE20" w14:textId="77777777" w:rsidR="004D4258" w:rsidRPr="00CA0534" w:rsidRDefault="004D4258" w:rsidP="004D4258">
      <w:pPr>
        <w:pStyle w:val="af3"/>
        <w:jc w:val="center"/>
        <w:rPr>
          <w:rFonts w:ascii="GHEA Grapalat" w:hAnsi="GHEA Grapalat"/>
          <w:i/>
          <w:lang w:val="af-ZA"/>
        </w:rPr>
      </w:pPr>
    </w:p>
    <w:p w14:paraId="3779FCE5" w14:textId="26EAB590"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Ընթացակարգի ծածկագիրը</w:t>
      </w:r>
      <w:r w:rsidRPr="0024208C">
        <w:rPr>
          <w:rFonts w:ascii="GHEA Grapalat" w:hAnsi="GHEA Grapalat"/>
          <w:i/>
          <w:lang w:val="af-ZA"/>
        </w:rPr>
        <w:t xml:space="preserve">`  </w:t>
      </w:r>
      <w:r w:rsidR="00730F87">
        <w:rPr>
          <w:rStyle w:val="afa"/>
          <w:rFonts w:ascii="GHEA Grapalat" w:hAnsi="GHEA Grapalat" w:cs="Arial"/>
          <w:i w:val="0"/>
        </w:rPr>
        <w:t>ՀՀ-ԲԾ-Ա-ԲՄԾՁԲ-26/2</w:t>
      </w:r>
      <w:r w:rsidR="00421D21">
        <w:rPr>
          <w:rStyle w:val="afa"/>
          <w:rFonts w:ascii="GHEA Grapalat" w:hAnsi="GHEA Grapalat" w:cs="Arial"/>
          <w:i w:val="0"/>
        </w:rPr>
        <w:t>9</w:t>
      </w:r>
      <w:r w:rsidRPr="00CA0534">
        <w:rPr>
          <w:rStyle w:val="afa"/>
          <w:rFonts w:ascii="GHEA Grapalat" w:hAnsi="GHEA Grapalat"/>
          <w:lang w:val="af-ZA"/>
        </w:rPr>
        <w:t xml:space="preserve">     </w:t>
      </w:r>
    </w:p>
    <w:p w14:paraId="5044A979" w14:textId="4D2C1E35" w:rsidR="00542C99" w:rsidRPr="006D438E" w:rsidRDefault="00437326" w:rsidP="00E53298">
      <w:pPr>
        <w:pStyle w:val="af5"/>
        <w:rPr>
          <w:rFonts w:ascii="GHEA Grapalat" w:hAnsi="GHEA Grapalat" w:cs="Calibri"/>
          <w:i/>
          <w:sz w:val="22"/>
          <w:szCs w:val="22"/>
          <w:lang w:val="af-ZA"/>
        </w:rPr>
      </w:pPr>
      <w:r w:rsidRPr="00CA0534">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50E96958" wp14:editId="5BBA6E34">
                <wp:simplePos x="0" y="0"/>
                <wp:positionH relativeFrom="leftMargin">
                  <wp:posOffset>38100</wp:posOffset>
                </wp:positionH>
                <wp:positionV relativeFrom="page">
                  <wp:posOffset>-211455</wp:posOffset>
                </wp:positionV>
                <wp:extent cx="7765200" cy="219600"/>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9FCFB60" w14:textId="77777777" w:rsidR="004D0FE4" w:rsidRDefault="004D0FE4">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0E96958" id="_x0000_t202" coordsize="21600,21600" o:spt="202" path="m,l,21600r21600,l21600,xe">
                <v:stroke joinstyle="miter"/>
                <v:path gradientshapeok="t" o:connecttype="rect"/>
              </v:shapetype>
              <v:shape id="ODT_ATTR_LBL_SHAPE" o:spid="_x0000_s1026" type="#_x0000_t202" style="position:absolute;margin-left:3pt;margin-top:-16.65pt;width:611.45pt;height:17.3pt;z-index:25165926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" fillcolor="#f2f2f2" stroked="f">
                <v:textbox inset=",0,,0">
                  <w:txbxContent>
                    <w:p w14:paraId="39FCFB60" w14:textId="77777777" w:rsidR="004D0FE4" w:rsidRDefault="004D0FE4">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v:textbox>
                <w10:wrap anchorx="margin" anchory="page"/>
              </v:shape>
            </w:pict>
          </mc:Fallback>
        </mc:AlternateContent>
      </w:r>
    </w:p>
    <w:p w14:paraId="7526697C" w14:textId="4842B957" w:rsidR="004A4970" w:rsidRPr="00CA0534" w:rsidRDefault="004A4970" w:rsidP="004A4970">
      <w:pPr>
        <w:pStyle w:val="af3"/>
        <w:ind w:firstLine="708"/>
        <w:jc w:val="center"/>
        <w:rPr>
          <w:rFonts w:ascii="GHEA Grapalat" w:hAnsi="GHEA Grapalat" w:cs="Calibri"/>
          <w:b/>
          <w:iCs/>
          <w:sz w:val="22"/>
          <w:szCs w:val="22"/>
          <w:lang w:val="af-ZA"/>
        </w:rPr>
      </w:pPr>
      <w:r w:rsidRPr="00CA0534">
        <w:rPr>
          <w:rFonts w:ascii="GHEA Grapalat" w:hAnsi="GHEA Grapalat" w:cs="Calibri"/>
          <w:b/>
          <w:iCs/>
          <w:sz w:val="22"/>
          <w:szCs w:val="22"/>
          <w:lang w:val="af-ZA"/>
        </w:rPr>
        <w:t xml:space="preserve">I. </w:t>
      </w:r>
      <w:r w:rsidR="00E53298">
        <w:rPr>
          <w:rFonts w:ascii="GHEA Grapalat" w:hAnsi="GHEA Grapalat" w:cs="Calibri"/>
          <w:b/>
          <w:iCs/>
          <w:sz w:val="22"/>
          <w:szCs w:val="22"/>
        </w:rPr>
        <w:t xml:space="preserve">ԾԱՌԱՅՈՒԹԱՆ </w:t>
      </w:r>
      <w:r w:rsidRPr="00CA0534">
        <w:rPr>
          <w:rFonts w:ascii="GHEA Grapalat" w:hAnsi="GHEA Grapalat" w:cs="Calibri"/>
          <w:b/>
          <w:iCs/>
          <w:sz w:val="22"/>
          <w:szCs w:val="22"/>
          <w:lang w:val="af-ZA"/>
        </w:rPr>
        <w:t xml:space="preserve"> ԲՆՈՒԹԱԳՐԵՐԸ</w:t>
      </w:r>
    </w:p>
    <w:p w14:paraId="5DA9B4C7" w14:textId="77777777" w:rsidR="004A4970" w:rsidRPr="00DA7A98" w:rsidRDefault="004A4970" w:rsidP="004A4970">
      <w:pPr>
        <w:pStyle w:val="af3"/>
        <w:ind w:firstLine="708"/>
        <w:jc w:val="center"/>
        <w:rPr>
          <w:rFonts w:ascii="GHEA Grapalat" w:hAnsi="GHEA Grapalat" w:cs="Calibri"/>
          <w:i/>
          <w:sz w:val="22"/>
          <w:szCs w:val="22"/>
        </w:rPr>
      </w:pPr>
    </w:p>
    <w:p w14:paraId="52892483" w14:textId="0474182C" w:rsidR="004A4970" w:rsidRPr="00D47C0C" w:rsidRDefault="00047F1D" w:rsidP="00730F87">
      <w:pPr>
        <w:spacing w:before="120" w:after="120"/>
        <w:jc w:val="both"/>
        <w:rPr>
          <w:rFonts w:ascii="GHEA Grapalat" w:hAnsi="GHEA Grapalat" w:cs="Calibri"/>
          <w:b/>
          <w:bCs/>
          <w:sz w:val="20"/>
          <w:szCs w:val="20"/>
        </w:rPr>
      </w:pPr>
      <w:r w:rsidRPr="00DA7A98">
        <w:rPr>
          <w:rFonts w:ascii="GHEA Grapalat" w:hAnsi="GHEA Grapalat" w:cs="Calibri"/>
          <w:sz w:val="20"/>
          <w:szCs w:val="20"/>
        </w:rPr>
        <w:t xml:space="preserve">Պատվիրատուն՝ ի դեմս </w:t>
      </w:r>
      <w:r w:rsidR="004A4970" w:rsidRPr="00DA7A98">
        <w:rPr>
          <w:rFonts w:ascii="GHEA Grapalat" w:hAnsi="GHEA Grapalat" w:cs="Calibri"/>
          <w:sz w:val="20"/>
          <w:szCs w:val="20"/>
          <w:lang w:val="af-ZA"/>
        </w:rPr>
        <w:t>ՀՀ շրջակա միջավայրի նախարարության «</w:t>
      </w:r>
      <w:r w:rsidRPr="00DA7A98">
        <w:rPr>
          <w:rFonts w:ascii="GHEA Grapalat" w:hAnsi="GHEA Grapalat" w:cs="Calibri"/>
          <w:sz w:val="20"/>
          <w:szCs w:val="20"/>
        </w:rPr>
        <w:t>ԲԾԻԳ</w:t>
      </w:r>
      <w:r w:rsidR="004A4970" w:rsidRPr="00DA7A98">
        <w:rPr>
          <w:rFonts w:ascii="GHEA Grapalat" w:hAnsi="GHEA Grapalat" w:cs="Calibri"/>
          <w:sz w:val="20"/>
          <w:szCs w:val="20"/>
          <w:lang w:val="af-ZA"/>
        </w:rPr>
        <w:t>» ՊՀ</w:t>
      </w:r>
      <w:r w:rsidRPr="00DA7A98">
        <w:rPr>
          <w:rFonts w:ascii="GHEA Grapalat" w:hAnsi="GHEA Grapalat" w:cs="Calibri"/>
          <w:sz w:val="20"/>
          <w:szCs w:val="20"/>
        </w:rPr>
        <w:t>-ի</w:t>
      </w:r>
      <w:r w:rsidR="004A4970" w:rsidRPr="00DA7A98">
        <w:rPr>
          <w:rFonts w:ascii="GHEA Grapalat" w:hAnsi="GHEA Grapalat" w:cs="Calibri"/>
          <w:sz w:val="20"/>
          <w:szCs w:val="20"/>
          <w:lang w:val="af-ZA"/>
        </w:rPr>
        <w:t xml:space="preserve"> գտնվում է </w:t>
      </w:r>
      <w:r w:rsidRPr="00DA7A98">
        <w:rPr>
          <w:rFonts w:ascii="GHEA Grapalat" w:hAnsi="GHEA Grapalat" w:cs="Calibri"/>
          <w:sz w:val="20"/>
          <w:szCs w:val="20"/>
          <w:lang w:val="af-ZA"/>
        </w:rPr>
        <w:t>Երևան, Տիգրան Մեծ 65Ա</w:t>
      </w:r>
      <w:r w:rsidRPr="00DA7A98">
        <w:rPr>
          <w:rFonts w:ascii="GHEA Grapalat" w:hAnsi="GHEA Grapalat" w:cs="Calibri"/>
          <w:sz w:val="20"/>
          <w:szCs w:val="20"/>
        </w:rPr>
        <w:t>, 3հ</w:t>
      </w:r>
      <w:r w:rsidRPr="00DA7A98">
        <w:rPr>
          <w:rFonts w:ascii="Cambria Math" w:hAnsi="Cambria Math" w:cs="Cambria Math"/>
          <w:sz w:val="20"/>
          <w:szCs w:val="20"/>
        </w:rPr>
        <w:t>․</w:t>
      </w:r>
      <w:r w:rsidRPr="00DA7A98">
        <w:rPr>
          <w:rFonts w:ascii="GHEA Grapalat" w:hAnsi="GHEA Grapalat" w:cs="Calibri"/>
          <w:sz w:val="20"/>
          <w:szCs w:val="20"/>
        </w:rPr>
        <w:t xml:space="preserve"> </w:t>
      </w:r>
      <w:r w:rsidRPr="00DA7A98">
        <w:rPr>
          <w:rFonts w:ascii="GHEA Grapalat" w:hAnsi="GHEA Grapalat" w:cs="GHEA Grapalat"/>
          <w:sz w:val="20"/>
          <w:szCs w:val="20"/>
        </w:rPr>
        <w:t>հասցեում</w:t>
      </w:r>
      <w:r w:rsidR="004A4970" w:rsidRPr="00DA7A98">
        <w:rPr>
          <w:rFonts w:ascii="GHEA Grapalat" w:hAnsi="GHEA Grapalat" w:cs="Calibri"/>
          <w:sz w:val="20"/>
          <w:szCs w:val="20"/>
          <w:lang w:val="af-ZA"/>
        </w:rPr>
        <w:t>:</w:t>
      </w:r>
      <w:r w:rsidR="00D71906" w:rsidRPr="00DA7A98">
        <w:rPr>
          <w:rFonts w:ascii="GHEA Grapalat" w:hAnsi="GHEA Grapalat" w:cs="Calibri"/>
          <w:sz w:val="20"/>
          <w:szCs w:val="20"/>
        </w:rPr>
        <w:t xml:space="preserve"> </w:t>
      </w:r>
      <w:r w:rsidR="00421D21" w:rsidRPr="00421D21">
        <w:rPr>
          <w:sz w:val="22"/>
          <w:szCs w:val="22"/>
        </w:rPr>
        <w:t>Տեխնիկական խորհրդատուի</w:t>
      </w:r>
      <w:r w:rsidR="004A4970" w:rsidRPr="00DA7A98">
        <w:rPr>
          <w:rFonts w:ascii="GHEA Grapalat" w:hAnsi="GHEA Grapalat" w:cs="Calibri"/>
          <w:sz w:val="20"/>
          <w:szCs w:val="20"/>
          <w:lang w:val="af-ZA"/>
        </w:rPr>
        <w:t xml:space="preserve"> </w:t>
      </w:r>
      <w:r w:rsidRPr="00DA7A98">
        <w:rPr>
          <w:rFonts w:ascii="GHEA Grapalat" w:hAnsi="GHEA Grapalat" w:cs="Calibri"/>
          <w:sz w:val="20"/>
          <w:szCs w:val="20"/>
        </w:rPr>
        <w:t>ծ</w:t>
      </w:r>
      <w:r w:rsidRPr="00DA7A98">
        <w:rPr>
          <w:rFonts w:ascii="GHEA Grapalat" w:hAnsi="GHEA Grapalat" w:cs="Calibri"/>
          <w:sz w:val="20"/>
          <w:szCs w:val="20"/>
          <w:lang w:val="af-ZA"/>
        </w:rPr>
        <w:t xml:space="preserve">առայություններ </w:t>
      </w:r>
      <w:r w:rsidRPr="00DA7A98">
        <w:rPr>
          <w:rFonts w:ascii="GHEA Grapalat" w:hAnsi="GHEA Grapalat" w:cs="Calibri"/>
          <w:sz w:val="20"/>
          <w:szCs w:val="20"/>
        </w:rPr>
        <w:t>ձեռք բերելու</w:t>
      </w:r>
      <w:r w:rsidRPr="00DA7A98">
        <w:rPr>
          <w:rFonts w:ascii="GHEA Grapalat" w:hAnsi="GHEA Grapalat" w:cs="Calibri"/>
          <w:sz w:val="20"/>
          <w:szCs w:val="20"/>
          <w:lang w:val="af-ZA"/>
        </w:rPr>
        <w:t xml:space="preserve"> </w:t>
      </w:r>
      <w:r w:rsidR="00A37EF6" w:rsidRPr="00DA7A98">
        <w:rPr>
          <w:rFonts w:ascii="GHEA Grapalat" w:hAnsi="GHEA Grapalat" w:cs="Calibri"/>
          <w:sz w:val="20"/>
          <w:szCs w:val="20"/>
        </w:rPr>
        <w:t xml:space="preserve"> </w:t>
      </w:r>
      <w:r w:rsidRPr="00DA7A98">
        <w:rPr>
          <w:rFonts w:ascii="GHEA Grapalat" w:hAnsi="GHEA Grapalat" w:cs="Calibri"/>
          <w:sz w:val="20"/>
          <w:szCs w:val="20"/>
          <w:lang w:val="af-ZA"/>
        </w:rPr>
        <w:t xml:space="preserve">համար  </w:t>
      </w:r>
      <w:r w:rsidR="00A37EF6" w:rsidRPr="00DA7A98">
        <w:rPr>
          <w:rFonts w:ascii="GHEA Grapalat" w:hAnsi="GHEA Grapalat" w:cs="Calibri"/>
          <w:sz w:val="20"/>
          <w:szCs w:val="20"/>
        </w:rPr>
        <w:t xml:space="preserve">հայտարարվում </w:t>
      </w:r>
      <w:r w:rsidR="001516B0" w:rsidRPr="00DA7A98">
        <w:rPr>
          <w:rFonts w:ascii="GHEA Grapalat" w:hAnsi="GHEA Grapalat" w:cs="Calibri"/>
          <w:sz w:val="20"/>
          <w:szCs w:val="20"/>
        </w:rPr>
        <w:t>է բաց մրցույթ-նախաորակավորման ընթացակարգ</w:t>
      </w:r>
      <w:r w:rsidR="00A37EF6" w:rsidRPr="00DA7A98">
        <w:rPr>
          <w:rFonts w:ascii="GHEA Grapalat" w:hAnsi="GHEA Grapalat" w:cs="Calibri"/>
          <w:sz w:val="20"/>
          <w:szCs w:val="20"/>
        </w:rPr>
        <w:t>ով</w:t>
      </w:r>
      <w:r w:rsidR="001516B0" w:rsidRPr="00DA7A98">
        <w:rPr>
          <w:rFonts w:ascii="GHEA Grapalat" w:hAnsi="GHEA Grapalat" w:cs="Calibri"/>
          <w:sz w:val="20"/>
          <w:szCs w:val="20"/>
        </w:rPr>
        <w:t>՝</w:t>
      </w:r>
      <w:r w:rsidR="00DA7A98" w:rsidRPr="00DA7A98">
        <w:rPr>
          <w:rFonts w:ascii="GHEA Grapalat" w:hAnsi="GHEA Grapalat" w:cs="Calibri"/>
          <w:sz w:val="20"/>
          <w:szCs w:val="20"/>
        </w:rPr>
        <w:t xml:space="preserve"> </w:t>
      </w:r>
      <w:r w:rsidR="00DA7A98" w:rsidRPr="00DA7A98">
        <w:rPr>
          <w:rFonts w:ascii="GHEA Grapalat" w:hAnsi="GHEA Grapalat" w:cs="Sylfaen"/>
          <w:sz w:val="20"/>
          <w:szCs w:val="20"/>
        </w:rPr>
        <w:t>«</w:t>
      </w:r>
      <w:r w:rsidR="00DA7A98" w:rsidRPr="00DA7A98">
        <w:rPr>
          <w:rFonts w:ascii="GHEA Grapalat" w:eastAsia="SimSun" w:hAnsi="GHEA Grapalat" w:cs="Arial"/>
          <w:b/>
          <w:sz w:val="20"/>
          <w:szCs w:val="20"/>
        </w:rPr>
        <w:t>Սևանա լճի ավազանում հողային ռեսուրսների և արժեքավոր էկոհամակարգերի պահպանում և կայուն կառավարում՝ ուղղված բազմակի օգուտների</w:t>
      </w:r>
      <w:r w:rsidR="00DA7A98" w:rsidRPr="00DA7A98">
        <w:rPr>
          <w:rFonts w:ascii="GHEA Grapalat" w:hAnsi="GHEA Grapalat"/>
          <w:sz w:val="20"/>
          <w:szCs w:val="20"/>
        </w:rPr>
        <w:t>»</w:t>
      </w:r>
      <w:r w:rsidR="00DA7A98" w:rsidRPr="00DA7A98">
        <w:rPr>
          <w:rFonts w:ascii="GHEA Grapalat" w:hAnsi="GHEA Grapalat" w:cs="Sylfaen"/>
          <w:sz w:val="20"/>
          <w:szCs w:val="20"/>
        </w:rPr>
        <w:t xml:space="preserve"> </w:t>
      </w:r>
      <w:r w:rsidR="001516B0" w:rsidRPr="00DA7A98">
        <w:rPr>
          <w:rFonts w:ascii="GHEA Grapalat" w:hAnsi="GHEA Grapalat" w:cs="Calibri"/>
          <w:sz w:val="20"/>
          <w:szCs w:val="20"/>
        </w:rPr>
        <w:t>դրամաշնորհային ծրագրի շրջանակներում</w:t>
      </w:r>
      <w:r w:rsidR="00730F87" w:rsidRPr="00730F87">
        <w:rPr>
          <w:rFonts w:ascii="GHEA Grapalat" w:hAnsi="GHEA Grapalat" w:cs="Calibri"/>
          <w:sz w:val="20"/>
          <w:szCs w:val="20"/>
        </w:rPr>
        <w:t xml:space="preserve"> </w:t>
      </w:r>
    </w:p>
    <w:p w14:paraId="724A96D8" w14:textId="77777777" w:rsidR="004A4970" w:rsidRPr="00CA0534" w:rsidRDefault="004A4970" w:rsidP="004A4970">
      <w:pPr>
        <w:pStyle w:val="af3"/>
        <w:ind w:left="1418"/>
        <w:rPr>
          <w:rFonts w:ascii="GHEA Grapalat" w:hAnsi="GHEA Grapalat" w:cs="Calibri"/>
          <w:sz w:val="22"/>
          <w:szCs w:val="22"/>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334"/>
      </w:tblGrid>
      <w:tr w:rsidR="004A4970" w:rsidRPr="00CA0534" w14:paraId="77DFDCB1" w14:textId="77777777" w:rsidTr="004A4970">
        <w:trPr>
          <w:trHeight w:val="20"/>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3289D3D5" w14:textId="77777777" w:rsidR="004A4970" w:rsidRPr="00CA0534" w:rsidRDefault="00820934">
            <w:pPr>
              <w:spacing w:line="256" w:lineRule="auto"/>
              <w:jc w:val="center"/>
              <w:rPr>
                <w:rFonts w:ascii="GHEA Grapalat" w:hAnsi="GHEA Grapalat" w:cs="Calibri"/>
                <w:b/>
                <w:kern w:val="2"/>
                <w:sz w:val="22"/>
                <w:szCs w:val="22"/>
                <w:lang w:val="en-US"/>
                <w14:ligatures w14:val="standardContextual"/>
              </w:rPr>
            </w:pPr>
            <w:r w:rsidRPr="00997CCD">
              <w:rPr>
                <w:rFonts w:ascii="GHEA Grapalat" w:hAnsi="GHEA Grapalat" w:cs="Calibri"/>
                <w:b/>
                <w:kern w:val="2"/>
                <w:sz w:val="22"/>
                <w:szCs w:val="22"/>
                <w14:ligatures w14:val="standardContextual"/>
              </w:rPr>
              <w:t>ՉԱՓԱ</w:t>
            </w:r>
            <w:r w:rsidRPr="00CA0534">
              <w:rPr>
                <w:rFonts w:ascii="GHEA Grapalat" w:hAnsi="GHEA Grapalat" w:cs="Calibri"/>
                <w:b/>
                <w:kern w:val="2"/>
                <w:sz w:val="22"/>
                <w:szCs w:val="22"/>
                <w14:ligatures w14:val="standardContextual"/>
              </w:rPr>
              <w:t>ԲԱԺԻՆ</w:t>
            </w:r>
          </w:p>
        </w:tc>
        <w:tc>
          <w:tcPr>
            <w:tcW w:w="7334" w:type="dxa"/>
            <w:tcBorders>
              <w:top w:val="single" w:sz="4" w:space="0" w:color="auto"/>
              <w:left w:val="single" w:sz="4" w:space="0" w:color="auto"/>
              <w:bottom w:val="single" w:sz="4" w:space="0" w:color="auto"/>
              <w:right w:val="single" w:sz="4" w:space="0" w:color="auto"/>
            </w:tcBorders>
            <w:vAlign w:val="center"/>
            <w:hideMark/>
          </w:tcPr>
          <w:p w14:paraId="6C90537D" w14:textId="77777777" w:rsidR="004A4970" w:rsidRPr="00CA0534" w:rsidRDefault="004A4970" w:rsidP="00A37EF6">
            <w:pPr>
              <w:spacing w:line="256" w:lineRule="auto"/>
              <w:jc w:val="center"/>
              <w:rPr>
                <w:rFonts w:ascii="GHEA Grapalat" w:hAnsi="GHEA Grapalat" w:cs="Calibri"/>
                <w:b/>
                <w:kern w:val="2"/>
                <w:sz w:val="22"/>
                <w:szCs w:val="22"/>
                <w14:ligatures w14:val="standardContextual"/>
              </w:rPr>
            </w:pPr>
            <w:r w:rsidRPr="00CA0534">
              <w:rPr>
                <w:rFonts w:ascii="GHEA Grapalat" w:hAnsi="GHEA Grapalat" w:cs="Calibri"/>
                <w:b/>
                <w:kern w:val="2"/>
                <w:sz w:val="22"/>
                <w:szCs w:val="22"/>
                <w14:ligatures w14:val="standardContextual"/>
              </w:rPr>
              <w:t xml:space="preserve">Գնման </w:t>
            </w:r>
            <w:r w:rsidR="00A37EF6" w:rsidRPr="00CA0534">
              <w:rPr>
                <w:rFonts w:ascii="GHEA Grapalat" w:hAnsi="GHEA Grapalat" w:cs="Calibri"/>
                <w:b/>
                <w:kern w:val="2"/>
                <w:sz w:val="22"/>
                <w:szCs w:val="22"/>
                <w14:ligatures w14:val="standardContextual"/>
              </w:rPr>
              <w:t>առարկան</w:t>
            </w:r>
          </w:p>
        </w:tc>
      </w:tr>
      <w:tr w:rsidR="004A4970" w:rsidRPr="00CA0534" w14:paraId="35747085" w14:textId="77777777" w:rsidTr="004A4970">
        <w:trPr>
          <w:trHeight w:val="476"/>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62225CEC" w14:textId="77777777" w:rsidR="004A4970" w:rsidRPr="00CA0534" w:rsidRDefault="00820934">
            <w:pPr>
              <w:spacing w:line="256"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ՉԱՓԱԲԱԺԻՆ</w:t>
            </w:r>
            <w:r w:rsidR="004A4970" w:rsidRPr="00CA0534">
              <w:rPr>
                <w:rFonts w:ascii="GHEA Grapalat" w:hAnsi="GHEA Grapalat" w:cs="Calibri"/>
                <w:kern w:val="2"/>
                <w:sz w:val="22"/>
                <w:szCs w:val="22"/>
                <w14:ligatures w14:val="standardContextual"/>
              </w:rPr>
              <w:t xml:space="preserve"> 1</w:t>
            </w:r>
          </w:p>
        </w:tc>
        <w:tc>
          <w:tcPr>
            <w:tcW w:w="7334" w:type="dxa"/>
            <w:tcBorders>
              <w:top w:val="single" w:sz="4" w:space="0" w:color="auto"/>
              <w:left w:val="single" w:sz="4" w:space="0" w:color="auto"/>
              <w:bottom w:val="single" w:sz="4" w:space="0" w:color="auto"/>
              <w:right w:val="single" w:sz="4" w:space="0" w:color="auto"/>
            </w:tcBorders>
            <w:vAlign w:val="center"/>
            <w:hideMark/>
          </w:tcPr>
          <w:p w14:paraId="75CBCF89" w14:textId="63D3110B" w:rsidR="004A4970" w:rsidRDefault="00807953" w:rsidP="00730F87">
            <w:pPr>
              <w:rPr>
                <w:rFonts w:ascii="GHEA Grapalat" w:hAnsi="GHEA Grapalat" w:cs="Calibri"/>
                <w:sz w:val="20"/>
                <w:szCs w:val="20"/>
              </w:rPr>
            </w:pPr>
            <w:r>
              <w:rPr>
                <w:rFonts w:ascii="GHEA Grapalat" w:hAnsi="GHEA Grapalat"/>
                <w:sz w:val="20"/>
                <w:szCs w:val="20"/>
              </w:rPr>
              <w:t xml:space="preserve">Տեխնիկական </w:t>
            </w:r>
            <w:r w:rsidR="00730F87" w:rsidRPr="00730F87">
              <w:rPr>
                <w:rFonts w:ascii="GHEA Grapalat" w:hAnsi="GHEA Grapalat"/>
                <w:sz w:val="20"/>
                <w:szCs w:val="20"/>
              </w:rPr>
              <w:t>խորհրդատուի</w:t>
            </w:r>
            <w:r w:rsidR="00730F87" w:rsidRPr="00730F87">
              <w:rPr>
                <w:rFonts w:ascii="GHEA Grapalat" w:hAnsi="GHEA Grapalat" w:cs="Calibri"/>
                <w:sz w:val="20"/>
                <w:szCs w:val="20"/>
              </w:rPr>
              <w:t xml:space="preserve"> </w:t>
            </w:r>
            <w:r w:rsidR="00730F87">
              <w:rPr>
                <w:rFonts w:ascii="GHEA Grapalat" w:hAnsi="GHEA Grapalat" w:cs="Calibri"/>
                <w:sz w:val="20"/>
                <w:szCs w:val="20"/>
              </w:rPr>
              <w:t xml:space="preserve"> </w:t>
            </w:r>
            <w:r w:rsidR="00730F87" w:rsidRPr="00DA7A98">
              <w:rPr>
                <w:rFonts w:ascii="GHEA Grapalat" w:hAnsi="GHEA Grapalat" w:cs="Calibri"/>
                <w:sz w:val="20"/>
                <w:szCs w:val="20"/>
              </w:rPr>
              <w:t>ծառայություններ</w:t>
            </w:r>
          </w:p>
          <w:p w14:paraId="5B53B5DB" w14:textId="584F5063" w:rsidR="00730F87" w:rsidRPr="00CA0534" w:rsidRDefault="00730F87" w:rsidP="00730F87">
            <w:pPr>
              <w:rPr>
                <w:rFonts w:ascii="GHEA Grapalat" w:hAnsi="GHEA Grapalat" w:cs="Calibri"/>
                <w:sz w:val="22"/>
                <w:szCs w:val="22"/>
              </w:rPr>
            </w:pPr>
          </w:p>
        </w:tc>
      </w:tr>
    </w:tbl>
    <w:p w14:paraId="4F0D6F9D" w14:textId="77777777" w:rsidR="004A4970" w:rsidRPr="00CA0534" w:rsidRDefault="004A4970" w:rsidP="004A4970">
      <w:pPr>
        <w:spacing w:line="252" w:lineRule="auto"/>
        <w:rPr>
          <w:rFonts w:ascii="GHEA Grapalat" w:hAnsi="GHEA Grapalat"/>
          <w:b/>
          <w:bCs/>
        </w:rPr>
        <w:sectPr w:rsidR="004A4970" w:rsidRPr="00CA0534" w:rsidSect="004A4970">
          <w:footerReference w:type="default" r:id="rId11"/>
          <w:pgSz w:w="11906" w:h="16838"/>
          <w:pgMar w:top="1008" w:right="926" w:bottom="630" w:left="1627" w:header="720" w:footer="144" w:gutter="0"/>
          <w:cols w:space="720"/>
        </w:sectPr>
      </w:pPr>
    </w:p>
    <w:p w14:paraId="26C1599D" w14:textId="77777777" w:rsidR="00825205" w:rsidRDefault="00825205" w:rsidP="00E53298">
      <w:pPr>
        <w:spacing w:after="120"/>
        <w:jc w:val="center"/>
        <w:rPr>
          <w:rFonts w:ascii="GHEA Grapalat" w:hAnsi="GHEA Grapalat" w:cs="Calibri"/>
          <w:b/>
          <w:bCs/>
          <w:sz w:val="20"/>
          <w:szCs w:val="20"/>
        </w:rPr>
      </w:pPr>
    </w:p>
    <w:p w14:paraId="24C18A0A" w14:textId="77777777" w:rsidR="005C1C71" w:rsidRPr="00261018" w:rsidRDefault="005C1C71" w:rsidP="005C1C71">
      <w:pPr>
        <w:spacing w:before="240" w:after="240"/>
        <w:jc w:val="center"/>
      </w:pPr>
      <w:r w:rsidRPr="00261018">
        <w:t>Տեխնիկական խորհրդատուի տեխնիկական առաջադրանք</w:t>
      </w:r>
    </w:p>
    <w:p w14:paraId="2FD97900" w14:textId="77777777" w:rsidR="005C1C71" w:rsidRPr="00261018" w:rsidRDefault="005C1C71" w:rsidP="005C1C71">
      <w:pPr>
        <w:spacing w:before="240" w:after="240"/>
      </w:pPr>
    </w:p>
    <w:p w14:paraId="4503C6E6" w14:textId="77777777" w:rsidR="005C1C71" w:rsidRPr="00261018" w:rsidRDefault="005C1C71" w:rsidP="005C1C71">
      <w:pPr>
        <w:spacing w:before="120" w:after="120"/>
        <w:rPr>
          <w:bCs/>
        </w:rPr>
      </w:pPr>
      <w:r>
        <w:t xml:space="preserve">Ծառայություն            </w:t>
      </w:r>
      <w:r w:rsidRPr="00261018">
        <w:tab/>
        <w:t>Տեխնիկական խորհրդատու</w:t>
      </w:r>
    </w:p>
    <w:p w14:paraId="3CF22D7D" w14:textId="77777777" w:rsidR="005C1C71" w:rsidRPr="00261018" w:rsidRDefault="005C1C71" w:rsidP="005C1C71">
      <w:pPr>
        <w:spacing w:before="120" w:after="120"/>
        <w:ind w:left="2880" w:hanging="2880"/>
        <w:rPr>
          <w:bCs/>
          <w:color w:val="000000"/>
        </w:rPr>
      </w:pPr>
      <w:r w:rsidRPr="00261018">
        <w:t>Ծրագրի անվանումը:</w:t>
      </w:r>
      <w:r w:rsidRPr="00261018">
        <w:tab/>
        <w:t xml:space="preserve">«Սևանա լճի ավազանում հողային ռեսուրսների և բարձրարժեք էկոհամակարգերի պահպանություն և կայուն կառավարում՝ բազմակի օգուտների համար» ՄԱԶԾ-ԳԷՀ ֆինանսավորմամբ ծրագիր </w:t>
      </w:r>
    </w:p>
    <w:p w14:paraId="31C7D646" w14:textId="77777777" w:rsidR="005C1C71" w:rsidRPr="00261018" w:rsidRDefault="005C1C71" w:rsidP="005C1C71">
      <w:pPr>
        <w:pStyle w:val="af1"/>
        <w:spacing w:before="120"/>
        <w:ind w:left="2880" w:hanging="2880"/>
        <w:rPr>
          <w:bCs/>
          <w:lang w:val="hy-AM"/>
        </w:rPr>
      </w:pPr>
      <w:r w:rsidRPr="00261018">
        <w:rPr>
          <w:lang w:val="hy-AM"/>
        </w:rPr>
        <w:t>Աշխատանքի վայր:</w:t>
      </w:r>
      <w:r w:rsidRPr="00261018">
        <w:rPr>
          <w:lang w:val="hy-AM"/>
        </w:rPr>
        <w:tab/>
        <w:t>Հիմնականում՝ տնային հիմքով (տարվա ընթացքում հեռավար աջակցություն), Հայաստանի Հանրապետությունում ներկայությամբ՝ համաձայնեցված ՄԱԶԾ/EPIU-ի հետ տարեկան 50 աշխատանքային օրվա շրջանակում (առաքելություններ Երևան և թիրախային տարածաշրջաններ, ներառյալ՝ Գեղարքունիք և Վայոց ձոր)։ Խորհրդատուն պետք է հասանելի լինի տարածաշրջանային դաշտային այցելություններ իրականացնելու և տեղում տեխնիկական աջակցություն տրամադրելու համար՝ Ծրագրի պահանջների համաձայն։</w:t>
      </w:r>
    </w:p>
    <w:p w14:paraId="5A74084E" w14:textId="77777777" w:rsidR="005C1C71" w:rsidRPr="00261018" w:rsidRDefault="005C1C71" w:rsidP="005C1C71">
      <w:pPr>
        <w:spacing w:before="120" w:after="120"/>
        <w:ind w:left="2880" w:hanging="2880"/>
      </w:pPr>
      <w:r w:rsidRPr="00261018">
        <w:t>Տևողությունը:</w:t>
      </w:r>
      <w:r w:rsidRPr="00261018">
        <w:tab/>
        <w:t>Խորհրդատուն կներգրավվի կարճաժամկետ հիմունքներով՝ մինչև 150 աշխատանքային օր 2026-2028 թվականներին՝ բաշխված տարեկան 50 աշխատանքային օր սկզբունքով։</w:t>
      </w:r>
    </w:p>
    <w:p w14:paraId="306F801D" w14:textId="77777777" w:rsidR="005C1C71" w:rsidRPr="00261018" w:rsidRDefault="005C1C71" w:rsidP="005C1C71">
      <w:pPr>
        <w:spacing w:before="120" w:after="120"/>
      </w:pPr>
      <w:r w:rsidRPr="00261018">
        <w:t>Ցանկալի մեկնարկի ամսաթիվը:</w:t>
      </w:r>
      <w:r w:rsidRPr="00261018">
        <w:tab/>
      </w:r>
      <w:r w:rsidRPr="00261018">
        <w:tab/>
        <w:t>պայմանագիրը կնքելու օրվանից</w:t>
      </w:r>
    </w:p>
    <w:p w14:paraId="4092A1F7" w14:textId="77777777" w:rsidR="005C1C71" w:rsidRPr="00261018" w:rsidRDefault="005C1C71" w:rsidP="005C1C71">
      <w:pPr>
        <w:pStyle w:val="Normal1"/>
        <w:numPr>
          <w:ilvl w:val="0"/>
          <w:numId w:val="8"/>
        </w:numPr>
        <w:spacing w:before="480" w:beforeAutospacing="0" w:after="120"/>
        <w:ind w:left="274" w:hanging="274"/>
        <w:rPr>
          <w:rFonts w:ascii="Times New Roman" w:hAnsi="Times New Roman"/>
          <w:bCs/>
          <w:sz w:val="24"/>
          <w:szCs w:val="24"/>
        </w:rPr>
      </w:pPr>
      <w:r w:rsidRPr="00261018">
        <w:rPr>
          <w:rFonts w:ascii="Times New Roman" w:hAnsi="Times New Roman"/>
          <w:bCs/>
          <w:sz w:val="24"/>
          <w:szCs w:val="24"/>
        </w:rPr>
        <w:t>ՆԱԽԱՊԱՏՄՈՒԹՅՈՒՆ</w:t>
      </w:r>
    </w:p>
    <w:tbl>
      <w:tblPr>
        <w:tblpPr w:leftFromText="180" w:rightFromText="180" w:vertAnchor="text" w:tblpX="13" w:tblpY="192"/>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5C1C71" w:rsidRPr="00261018" w14:paraId="23A6DA65" w14:textId="77777777" w:rsidTr="00277809">
        <w:trPr>
          <w:trHeight w:val="485"/>
        </w:trPr>
        <w:tc>
          <w:tcPr>
            <w:tcW w:w="9828" w:type="dxa"/>
          </w:tcPr>
          <w:p w14:paraId="545C5ADE" w14:textId="77777777" w:rsidR="005C1C71" w:rsidRPr="00261018" w:rsidRDefault="005C1C71" w:rsidP="00277809">
            <w:pPr>
              <w:pStyle w:val="Normal1"/>
              <w:spacing w:before="0" w:beforeAutospacing="0"/>
              <w:rPr>
                <w:rFonts w:ascii="Times New Roman" w:hAnsi="Times New Roman"/>
                <w:kern w:val="2"/>
                <w:sz w:val="24"/>
                <w:szCs w:val="24"/>
                <w:lang w:eastAsia="zh-CN"/>
              </w:rPr>
            </w:pPr>
            <w:r w:rsidRPr="00261018">
              <w:rPr>
                <w:rFonts w:ascii="Times New Roman" w:hAnsi="Times New Roman"/>
                <w:kern w:val="2"/>
                <w:sz w:val="24"/>
                <w:szCs w:val="24"/>
                <w:lang w:eastAsia="zh-CN"/>
              </w:rPr>
              <w:t xml:space="preserve"> «Սևանա լճի ավազանում հողային ռեսուրսների և բարձրարժեք էկոհամակարգերի պահպանություն և կայուն կառավարում՝ բազմակի օգուտների համար» ՄԱԶԾ–ԳԷՀ ֆինանսավորմամբ ծրագիրը նպատակ ունի առաջ մղել հողերի դեգրադացիայի չեզոքությունը (LDN), ամրապնդել կենսաբազմազանության պահպանությունը և խթանել կայուն կենսապահովման միջոցները Հայաստանի Սևանա լճի ավազանում՝ ինտեգրված, լանդշաֆտային մոտեցման միջոցով։ Ծրագիրը նպաստում է Անապատացման դեմ պայքարի ՄԱԿ-ի կոնվենցիայով (UNCCD) և Կենսաբազմազանության մասին կոնվենցիայով (CBD) Հայաստանի միջազգային պարտավորությունների կատարմանը։</w:t>
            </w:r>
          </w:p>
          <w:p w14:paraId="7616E431" w14:textId="77777777" w:rsidR="005C1C71" w:rsidRPr="00261018" w:rsidRDefault="005C1C71" w:rsidP="00277809">
            <w:pPr>
              <w:pStyle w:val="Normal1"/>
              <w:spacing w:before="0" w:beforeAutospacing="0"/>
              <w:rPr>
                <w:rFonts w:ascii="Times New Roman" w:hAnsi="Times New Roman"/>
                <w:kern w:val="2"/>
                <w:sz w:val="24"/>
                <w:szCs w:val="24"/>
                <w:lang w:val="hy-AM" w:eastAsia="zh-CN"/>
              </w:rPr>
            </w:pPr>
            <w:r w:rsidRPr="00261018">
              <w:rPr>
                <w:rFonts w:ascii="Times New Roman" w:hAnsi="Times New Roman"/>
                <w:kern w:val="2"/>
                <w:sz w:val="24"/>
                <w:szCs w:val="24"/>
                <w:lang w:eastAsia="zh-CN"/>
              </w:rPr>
              <w:t>Այս շրջանակում Ծրագիրն աջակցում է ագրոբնապահպանական վճարումների սխեմայի (AEPS) նախագծմանը և փորձնական իրականացմանը՝ որպես խրախուսման վրա հիմնված մեխանիզմ՝ ֆերմերներին և տեղական համայնքներին խրախուսելու կենսաբազմազանությանը նպաստող և LDN-ի հետ համատեղելի հողերի կայուն կառավարման պրակտիկաներ կիրառել։ AEPS-ը նախատեսված է ապահովելու շրջակա միջավայրի արդյունավետություն, սոցիալական ներառականություն, ծախսարդյունավետություն, ինստիտուցիոնալ իրագործելիություն և երկարաժամկետ կայունություն՝ ազգային մակարդակով ընդլայնման ներուժով։</w:t>
            </w:r>
          </w:p>
          <w:p w14:paraId="673D1B11" w14:textId="77777777" w:rsidR="005C1C71" w:rsidRPr="00261018" w:rsidRDefault="005C1C71" w:rsidP="00277809">
            <w:pPr>
              <w:pStyle w:val="Normal1"/>
              <w:spacing w:before="0" w:beforeAutospacing="0"/>
              <w:rPr>
                <w:rFonts w:ascii="Times New Roman" w:hAnsi="Times New Roman"/>
                <w:kern w:val="2"/>
                <w:sz w:val="24"/>
                <w:szCs w:val="24"/>
                <w:lang w:val="hy-AM" w:eastAsia="zh-CN"/>
              </w:rPr>
            </w:pPr>
            <w:r w:rsidRPr="00261018">
              <w:rPr>
                <w:rFonts w:ascii="Times New Roman" w:hAnsi="Times New Roman"/>
                <w:kern w:val="2"/>
                <w:sz w:val="24"/>
                <w:szCs w:val="24"/>
                <w:lang w:val="hy-AM" w:eastAsia="zh-CN"/>
              </w:rPr>
              <w:t xml:space="preserve">Հնգամյա Ծրագիրը (2024–2028) իրականացվում է Գեղարքունիքի և Վայոց ձորի մարզերում՝ ցուցադրական և փորձնական տեղամասերով Մարտունի, Վարդենիս, Ճամբարակ, Եղեգիս, Վայք և Ջերմուկ համայնքներում։ Ծրագիրը անդրադառնում է հողերի դեգրադացիայի և կենսաբազմազանության կորստի անմիջական շարժիչ գործոններին՝ խթանելով կայուն գյուղատնտեսություն և հողերի կառավարման պրակտիկաներ, ամրապնդելով էկոհամակարգային կապակցվածությունը և աջակցելով կարևոր բնավայրերի ու վայրի </w:t>
            </w:r>
            <w:r w:rsidRPr="00261018">
              <w:rPr>
                <w:rFonts w:ascii="Times New Roman" w:hAnsi="Times New Roman"/>
                <w:kern w:val="2"/>
                <w:sz w:val="24"/>
                <w:szCs w:val="24"/>
                <w:lang w:val="hy-AM" w:eastAsia="zh-CN"/>
              </w:rPr>
              <w:lastRenderedPageBreak/>
              <w:t>կենդանիների միգրացիոն միջանցքների պահպանությանը՝ ազգային և տեղական գործընկերների հետ սերտ համագործակցությամբ։</w:t>
            </w:r>
          </w:p>
          <w:p w14:paraId="2E445157" w14:textId="77777777" w:rsidR="005C1C71" w:rsidRPr="00261018" w:rsidRDefault="005C1C71" w:rsidP="00277809">
            <w:pPr>
              <w:spacing w:before="80"/>
              <w:rPr>
                <w:kern w:val="2"/>
                <w:lang w:eastAsia="zh-CN"/>
              </w:rPr>
            </w:pPr>
            <w:r w:rsidRPr="00261018">
              <w:rPr>
                <w:kern w:val="2"/>
                <w:lang w:eastAsia="zh-CN"/>
              </w:rPr>
              <w:t>Ծրագիրը կառուցված է չորս բաղադրիչների և համապատասխան արդյունքների շուրջ, որոնք համատեղ ստեղծում են հնարավորություն ընձեռող պայմաններ լանդշաֆտային մակարդակով հողային, ջրային և կենսաբազմազանության ռեսուրսների արդյունավետ պաշտպանության, վերականգնման և կայուն կառավարման համար՝ միաժամանակ ապահովելով բազմաթիվ բնապահպանական և սոցիալ-տնտեսական օգուտներ։</w:t>
            </w:r>
          </w:p>
          <w:p w14:paraId="0DF13B3E" w14:textId="77777777" w:rsidR="005C1C71" w:rsidRPr="00261018" w:rsidRDefault="005C1C71" w:rsidP="00277809">
            <w:pPr>
              <w:spacing w:before="80"/>
              <w:rPr>
                <w:kern w:val="2"/>
                <w:lang w:eastAsia="zh-CN"/>
              </w:rPr>
            </w:pPr>
            <w:r w:rsidRPr="00261018">
              <w:rPr>
                <w:kern w:val="2"/>
                <w:lang w:eastAsia="zh-CN"/>
              </w:rPr>
              <w:t>Բաղադրիչ 1. Սևանա լճի ավազանի լանդշաֆտում հողերի դեգրադացիայի չեզոքության (LDN) խթանում՝ արտադրողականության և էկոլոգիական դիմակայունության բարձրացման նպատակով</w:t>
            </w:r>
          </w:p>
          <w:p w14:paraId="7A7A7BAF" w14:textId="77777777" w:rsidR="005C1C71" w:rsidRPr="00261018" w:rsidRDefault="005C1C71" w:rsidP="00277809">
            <w:pPr>
              <w:spacing w:before="80"/>
              <w:rPr>
                <w:bCs/>
                <w:iCs/>
              </w:rPr>
            </w:pPr>
            <w:r w:rsidRPr="00261018">
              <w:rPr>
                <w:bCs/>
                <w:iCs/>
              </w:rPr>
              <w:t>Արդյունք 1.1. Գեղարքունիքի և Վայոց ձորի մարզերում LDN-ն առաջ է մղվում ինտեգրված, բազմաոլորտային լանդշաֆտային մոտեցումների միջոցով։</w:t>
            </w:r>
          </w:p>
          <w:p w14:paraId="47E7D153" w14:textId="77777777" w:rsidR="005C1C71" w:rsidRPr="00261018" w:rsidRDefault="005C1C71" w:rsidP="00277809">
            <w:pPr>
              <w:spacing w:before="80"/>
              <w:rPr>
                <w:bCs/>
                <w:iCs/>
              </w:rPr>
            </w:pPr>
            <w:r w:rsidRPr="00261018">
              <w:rPr>
                <w:bCs/>
                <w:iCs/>
              </w:rPr>
              <w:t>Այս բաղադրիչը կաջակցի Գեղարքունիքի և Վայոց ձորի մարզերին սահմանելու կամավոր LDN թիրախներ, որոնք կնպաստեն Հայաստանի ազգային LDN նպատակին՝ ինչպես սահմանված է ազգային LDN ծրագիրը հաստատող Կառավարության որոշմամբ։ Այն կլրացնի կառավարության ընթացիկ ջանքերը՝ Սևանա լճի ավազանի համայնքներում LDN-ին համահունչ մոտեցումների խթանման միջոցով՝ ինտեգրված հողօգտագործման պլանավորման շրջանակում, միաժամանակ ամրապնդելով կենսաբազմազանության նկատառումների ներառումը հարակից տարածքներում։ Բաղադրիչը նպատակ ունի 165,800 հա տարածք ընդգրկել LDN-ի հետ համատեղելի հողերի կայուն կառավարման պրակտիկաների ներքո, ներառյալ՝ 150,000 հա արոտավայրեր, 8,000 հա անտառներ և 10,000 հա վարելահողեր։</w:t>
            </w:r>
          </w:p>
          <w:p w14:paraId="23563499" w14:textId="77777777" w:rsidR="005C1C71" w:rsidRPr="00261018" w:rsidRDefault="005C1C71" w:rsidP="00277809">
            <w:pPr>
              <w:spacing w:before="80"/>
              <w:rPr>
                <w:bCs/>
                <w:iCs/>
              </w:rPr>
            </w:pPr>
            <w:r w:rsidRPr="00261018">
              <w:rPr>
                <w:bCs/>
                <w:iCs/>
              </w:rPr>
              <w:t>Բաղադրիչ 2. Կենսաբազմազանության և կարևոր բնավայրերի ապահովում՝ Սևանա լճի ավազանի լանդշաֆտում էկոհամակարգային ծառայությունների վատթարացումը կանխելու նպատակով</w:t>
            </w:r>
          </w:p>
          <w:p w14:paraId="3D2C8416" w14:textId="77777777" w:rsidR="005C1C71" w:rsidRPr="00261018" w:rsidRDefault="005C1C71" w:rsidP="00277809">
            <w:pPr>
              <w:spacing w:before="80"/>
              <w:rPr>
                <w:bCs/>
                <w:iCs/>
              </w:rPr>
            </w:pPr>
            <w:r w:rsidRPr="00261018">
              <w:rPr>
                <w:bCs/>
                <w:iCs/>
              </w:rPr>
              <w:t>Արդյունք 2.1. «Սևան» ազգային պարկում (147,456 հա) կենսաբազմազանության վիճակը ապահովվում է պահպանվող տարածքի կարողությունների ուժեղացման միջոցով՝ լուծելու Սևանա լճի ավազանի լանդշաֆտը խարսխող PA/KBA-ի շրջանակում գլոբալ նշանակության տեսակների և բնավայրերի հիմնական սպառնալիքները։</w:t>
            </w:r>
          </w:p>
          <w:p w14:paraId="6FD403CD" w14:textId="77777777" w:rsidR="005C1C71" w:rsidRPr="00261018" w:rsidRDefault="005C1C71" w:rsidP="00277809">
            <w:pPr>
              <w:spacing w:before="80"/>
              <w:rPr>
                <w:bCs/>
                <w:iCs/>
              </w:rPr>
            </w:pPr>
            <w:r w:rsidRPr="00261018">
              <w:rPr>
                <w:bCs/>
                <w:iCs/>
              </w:rPr>
              <w:t>Արդյունք 2.2. Սևանա լճի ավազանի լանդշաֆտում պահպանվող տարածքից դուրս գտնվող կենսաբազմազանության թեժ կետերի համար առկա են կենսաբազմազանության պահպանության գնահատումներ և առաջարկվող պայմանավորվածություններ։</w:t>
            </w:r>
          </w:p>
          <w:p w14:paraId="33A2B813" w14:textId="77777777" w:rsidR="005C1C71" w:rsidRPr="00261018" w:rsidRDefault="005C1C71" w:rsidP="00277809">
            <w:pPr>
              <w:spacing w:before="80"/>
              <w:rPr>
                <w:bCs/>
                <w:iCs/>
              </w:rPr>
            </w:pPr>
            <w:r w:rsidRPr="00261018">
              <w:rPr>
                <w:bCs/>
                <w:iCs/>
              </w:rPr>
              <w:t>Այս բաղադրիչը հիմնված է երկու փոխլրացնող մոտեցումների վրա․</w:t>
            </w:r>
          </w:p>
          <w:p w14:paraId="047C7A43" w14:textId="77777777" w:rsidR="005C1C71" w:rsidRPr="00261018" w:rsidRDefault="005C1C71" w:rsidP="00277809">
            <w:pPr>
              <w:spacing w:before="80"/>
              <w:rPr>
                <w:bCs/>
                <w:iCs/>
              </w:rPr>
            </w:pPr>
            <w:r w:rsidRPr="00261018">
              <w:rPr>
                <w:bCs/>
                <w:iCs/>
              </w:rPr>
              <w:t>(i) «Սևան» ազգային պարկում հիմնական տեսակների և բարձրարժեք բնավայրերի էկոլոգիական ամբողջականության պահպանում, որը հանդիսանում է Սևանա լճի ավազանի ավելի լայն լանդշաֆտի հենակետը, և</w:t>
            </w:r>
          </w:p>
          <w:p w14:paraId="366B0926" w14:textId="77777777" w:rsidR="005C1C71" w:rsidRPr="00261018" w:rsidRDefault="005C1C71" w:rsidP="00277809">
            <w:pPr>
              <w:spacing w:before="80"/>
              <w:rPr>
                <w:bCs/>
                <w:iCs/>
              </w:rPr>
            </w:pPr>
            <w:r w:rsidRPr="00261018">
              <w:rPr>
                <w:bCs/>
                <w:iCs/>
              </w:rPr>
              <w:t>(ii) շրջակա արտադրական լանդշաֆտում կենսաբազմազանության արժեքների թիրախավորում և դրանց ինտեգրման աջակցություն ավելի լայն լանդշաֆտային կառավարման մեջ՝ այդպիսով պահպանելով այն էկոհամակարգային ծառայությունները, որոնցից կախված են տեղական կենսապահովման միջոցները։ Ծրագիրը վերապատրաստման և գործնական աջակցության միջոցով կուժեղացնի համապատասխան մարմինների կարողությունները՝ կիրառելու բնավայրերի մոնիթորինգի արձանագրություններ և բարելավելու ապացույցների վրա հիմնված կենսաբազմազանության կառավարումը։</w:t>
            </w:r>
          </w:p>
          <w:p w14:paraId="434AC21C" w14:textId="77777777" w:rsidR="005C1C71" w:rsidRPr="00261018" w:rsidRDefault="005C1C71" w:rsidP="00277809">
            <w:pPr>
              <w:spacing w:before="80"/>
              <w:rPr>
                <w:bCs/>
                <w:iCs/>
              </w:rPr>
            </w:pPr>
            <w:r w:rsidRPr="00261018">
              <w:rPr>
                <w:bCs/>
                <w:iCs/>
              </w:rPr>
              <w:t>Բաղադրիչ 3. Սևանա լճի ավազանի լանդշաֆտում տեղական համայնքների համար կայուն, կենսաբազմազանությանը նպաստող տնտեսական զարգացման և խրախուսման մեխանիզմների խթանում</w:t>
            </w:r>
          </w:p>
          <w:p w14:paraId="260574B4" w14:textId="77777777" w:rsidR="005C1C71" w:rsidRPr="00261018" w:rsidRDefault="005C1C71" w:rsidP="00277809">
            <w:pPr>
              <w:spacing w:before="80"/>
              <w:rPr>
                <w:bCs/>
                <w:iCs/>
              </w:rPr>
            </w:pPr>
            <w:r w:rsidRPr="00261018">
              <w:rPr>
                <w:bCs/>
                <w:iCs/>
              </w:rPr>
              <w:t>Արդյունք 3.1. Սևանի արտադրական լանդշաֆտում խթանվում են կենսաբազմազանությանը նպաստող և LDN-ի հետ համատեղելի հողերի կայուն կառավարման (SLM) պրակտիկաներ։</w:t>
            </w:r>
          </w:p>
          <w:p w14:paraId="3A5AF0A3" w14:textId="77777777" w:rsidR="005C1C71" w:rsidRPr="00261018" w:rsidRDefault="005C1C71" w:rsidP="00277809">
            <w:pPr>
              <w:spacing w:before="80"/>
              <w:rPr>
                <w:bCs/>
                <w:iCs/>
              </w:rPr>
            </w:pPr>
            <w:r w:rsidRPr="00261018">
              <w:rPr>
                <w:bCs/>
                <w:iCs/>
              </w:rPr>
              <w:lastRenderedPageBreak/>
              <w:t>Ծրագիրը կնպաստի բնության համար դրական լուծումներին պահպանվող տարածքներում և դրանց շուրջ, Կենսաբազմազանության առանցքային տարածքներում (KBAs), Թռչունների կարևոր տարածքներում (IBAs) և էկոլոգիական միջանցքների գոտիներում՝ տրամադրելով ֆինանսական խրախուսումներ կենսաբազմազանության նկատմամբ զգայուն, LDN-ի հետ համատեղելի SLM միջոցառումների իրականացման համար՝ LDN-ի հասնելու նպատակով։ Այս միջոցառումները կնախագծվեն և կաջակցվեն ինտեգրված տարածական և հողօգտագործման պլանների (ISLUPs) և LDN գնահատումների համաձայն՝ ապահովելով խրախուսումների, հողօգտագործման առաջնահերթությունների և չափելի բնապահպանական արդյունքների միջև համահունչություն։</w:t>
            </w:r>
          </w:p>
          <w:p w14:paraId="4DCE6F7C" w14:textId="77777777" w:rsidR="005C1C71" w:rsidRPr="00261018" w:rsidRDefault="005C1C71" w:rsidP="00277809">
            <w:pPr>
              <w:spacing w:before="80"/>
              <w:rPr>
                <w:bCs/>
                <w:iCs/>
              </w:rPr>
            </w:pPr>
            <w:r w:rsidRPr="00261018">
              <w:rPr>
                <w:bCs/>
                <w:iCs/>
              </w:rPr>
              <w:t>Բաղադրիչ 4. Գիտելիքի կառավարում և ուսուցում</w:t>
            </w:r>
          </w:p>
          <w:p w14:paraId="0397D2D3" w14:textId="77777777" w:rsidR="005C1C71" w:rsidRPr="00261018" w:rsidRDefault="005C1C71" w:rsidP="00277809">
            <w:pPr>
              <w:spacing w:before="80"/>
              <w:rPr>
                <w:bCs/>
                <w:iCs/>
              </w:rPr>
            </w:pPr>
            <w:r w:rsidRPr="00261018">
              <w:rPr>
                <w:bCs/>
                <w:iCs/>
              </w:rPr>
              <w:t>Արդյունք 4.1. Լավագույն պրակտիկաները և քաղված դասերը փաստաթղթավորվում, տարածվում և կիրառվում են Հայաստանի և տարածաշրջանի այլ արտադրական լանդշաֆտներում և միկրոջրավազաններում։</w:t>
            </w:r>
          </w:p>
          <w:p w14:paraId="727F95E8" w14:textId="77777777" w:rsidR="005C1C71" w:rsidRPr="00261018" w:rsidRDefault="005C1C71" w:rsidP="00277809">
            <w:pPr>
              <w:spacing w:before="80"/>
              <w:rPr>
                <w:bCs/>
                <w:iCs/>
              </w:rPr>
            </w:pPr>
            <w:r w:rsidRPr="00261018">
              <w:t>Այս բաղադրիչը կապահովի, որ ծրագրի կողմից ստեղծված գործիքները, մոտեցումները և ապացույցները համակարգված կերպով արձանագրվեն և վերածվեն գործնական գիտելիքային արտադրանքների։ Այն տեխնիկական ներդրումներ կապահովի ուսուցման, կրկնօրինակման և ընդլայնման համար՝ լավագույն պրակտիկաները հասանելի դարձնելով համապատասխան շահագրգիռ կողմերին և աջակցելով դրանց կիրառմանը այլ լանդշաֆտներում ու միկրոջրավազաններում՝ ազգային և տարածաշրջանային մակարդակներում։</w:t>
            </w:r>
          </w:p>
        </w:tc>
      </w:tr>
    </w:tbl>
    <w:p w14:paraId="53152AEF" w14:textId="77777777" w:rsidR="005C1C71" w:rsidRPr="00261018" w:rsidRDefault="005C1C71" w:rsidP="005C1C71">
      <w:pPr>
        <w:pStyle w:val="Normal1"/>
        <w:numPr>
          <w:ilvl w:val="0"/>
          <w:numId w:val="8"/>
        </w:numPr>
        <w:spacing w:before="480" w:beforeAutospacing="0" w:after="120"/>
        <w:ind w:left="274" w:hanging="274"/>
        <w:rPr>
          <w:rFonts w:ascii="Times New Roman" w:hAnsi="Times New Roman"/>
          <w:bCs/>
          <w:sz w:val="24"/>
          <w:szCs w:val="24"/>
        </w:rPr>
      </w:pPr>
      <w:r w:rsidRPr="00261018">
        <w:rPr>
          <w:rFonts w:ascii="Times New Roman" w:hAnsi="Times New Roman"/>
          <w:bCs/>
          <w:sz w:val="24"/>
          <w:szCs w:val="24"/>
        </w:rPr>
        <w:lastRenderedPageBreak/>
        <w:t>ԱՌԱՋԱԴՐԱՆՔԻ ՆՊԱՏԱԿԸ</w:t>
      </w:r>
    </w:p>
    <w:tbl>
      <w:tblPr>
        <w:tblpPr w:leftFromText="180" w:rightFromText="180" w:vertAnchor="text" w:tblpX="13" w:tblpY="192"/>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5C1C71" w:rsidRPr="00261018" w14:paraId="59ADC74B" w14:textId="77777777" w:rsidTr="00277809">
        <w:trPr>
          <w:trHeight w:val="264"/>
        </w:trPr>
        <w:tc>
          <w:tcPr>
            <w:tcW w:w="9828" w:type="dxa"/>
          </w:tcPr>
          <w:p w14:paraId="6E1CEF49" w14:textId="77777777" w:rsidR="005C1C71" w:rsidRPr="00261018" w:rsidRDefault="005C1C71" w:rsidP="00277809">
            <w:pPr>
              <w:pStyle w:val="af1"/>
              <w:ind w:right="101"/>
              <w:rPr>
                <w:bCs/>
                <w:iCs/>
                <w:noProof/>
                <w:lang w:val="hy-AM" w:eastAsia="ru-RU"/>
              </w:rPr>
            </w:pPr>
            <w:r w:rsidRPr="00261018">
              <w:rPr>
                <w:bCs/>
                <w:iCs/>
                <w:noProof/>
                <w:lang w:val="hy-AM" w:eastAsia="ru-RU"/>
              </w:rPr>
              <w:t>Սույն առաջադրանքի նպատակն է Ծրագրի թիմին և համապատասխան ազգային շահագրգիռ կողմերին տրամադրել բարձր մակարդակի տեխնիկական և ռազմավարական խորհրդատվական աջակցություն՝ ապահովելու ՄԱԶԾ–ԳԷՀ «Սևանա լճի ավազանում հողային ռեսուրսների և բարձրարժեք էկոհամակարգերի պահպանություն և կայուն կառավարում՝ բազմակի օգուտների համար» ծրագրի արդյունավետ, ժամանակին և արդյունքներին ուղղված իրականացումը՝ համաձայն Ծրագրային փաստաթղթի և հաստատված արդյունքների շրջանակի։</w:t>
            </w:r>
          </w:p>
          <w:p w14:paraId="6714A2E7" w14:textId="77777777" w:rsidR="005C1C71" w:rsidRPr="00261018" w:rsidRDefault="005C1C71" w:rsidP="00277809">
            <w:pPr>
              <w:rPr>
                <w:bCs/>
                <w:iCs/>
              </w:rPr>
            </w:pPr>
            <w:r w:rsidRPr="00261018">
              <w:rPr>
                <w:bCs/>
                <w:iCs/>
              </w:rPr>
              <w:t>Տեխնիկական խորհրդատուն կաջակցի արդյունքների վրա հիմնված և հարմարվողական ծրագրային կառավարմանը՝ տրամադրելով տեխնիկական ուղղորդում Ծրագրի բոլոր բաղադրիչների ուղղությամբ, դյուրացնելով ազգային և միջազգային փորձագետների ու հիմնական շահագրգիռ կողմերի միջև համակարգումը և ամրապնդելով մոնիթորինգի, հաշվետվության, ռիսկերի կառավարման և գիտելիքի կառավարման համակարգերը։ Առաջադրանքը կնպաստի հողերի դեգրադացիայի չեզոքության (LDN), կենսաբազմազանության պահպանության և կայուն կենսապահովման արդյունքների նվաճմանը՝ ինտեգրված լանդշաֆտային մոտեցման միջոցով, միաժամանակ աջակցելով ՄԱԶԾ–ԳԷՀ պահանջներին, միջազգային լավագույն փորձին և Հայաստանի Հանրապետության ազգային իրավական ու ինստիտուցիոնալ շրջանակին համապատասխանող ընդլայնելի, կրկնօրինակելի և կայուն լուծումների մշակմանը։ Ծրագրային փաստաթուղթը հասանելի է ներբեռնման համար հետևյալ հղումով․</w:t>
            </w:r>
          </w:p>
          <w:p w14:paraId="1DBA5A9A" w14:textId="77777777" w:rsidR="005C1C71" w:rsidRPr="00261018" w:rsidRDefault="005C1C71" w:rsidP="00277809">
            <w:pPr>
              <w:pStyle w:val="af1"/>
              <w:spacing w:after="0"/>
              <w:ind w:right="101"/>
              <w:rPr>
                <w:lang w:val="hy-AM"/>
              </w:rPr>
            </w:pPr>
            <w:r w:rsidRPr="00261018">
              <w:rPr>
                <w:lang w:val="hy-AM"/>
              </w:rPr>
              <w:t>(</w:t>
            </w:r>
            <w:hyperlink r:id="rId12" w:history="1">
              <w:r w:rsidRPr="00261018">
                <w:rPr>
                  <w:rStyle w:val="af0"/>
                  <w:rFonts w:eastAsiaTheme="majorEastAsia"/>
                  <w:lang w:val="hy-AM"/>
                </w:rPr>
                <w:t>https://www.undp.org/armenia/publications/conservation-and-susդtainable-management-land-resources-and-high-value-ecosystems-lake-sevan-basin-multiple-benefits</w:t>
              </w:r>
            </w:hyperlink>
            <w:r w:rsidRPr="00261018">
              <w:rPr>
                <w:lang w:val="hy-AM"/>
              </w:rPr>
              <w:t xml:space="preserve">). </w:t>
            </w:r>
          </w:p>
          <w:p w14:paraId="113281E4" w14:textId="77777777" w:rsidR="005C1C71" w:rsidRPr="00261018" w:rsidRDefault="005C1C71" w:rsidP="00277809">
            <w:pPr>
              <w:pStyle w:val="Normal1"/>
              <w:spacing w:before="40" w:beforeAutospacing="0" w:after="40" w:line="240" w:lineRule="auto"/>
              <w:rPr>
                <w:rFonts w:ascii="Times New Roman" w:hAnsi="Times New Roman"/>
                <w:kern w:val="2"/>
                <w:sz w:val="24"/>
                <w:szCs w:val="24"/>
                <w:lang w:val="hy-AM" w:eastAsia="zh-CN"/>
              </w:rPr>
            </w:pPr>
          </w:p>
        </w:tc>
      </w:tr>
    </w:tbl>
    <w:p w14:paraId="7AC35C50" w14:textId="77777777" w:rsidR="005C1C71" w:rsidRPr="00261018" w:rsidRDefault="005C1C71" w:rsidP="005C1C71">
      <w:pPr>
        <w:pStyle w:val="Normal1"/>
        <w:numPr>
          <w:ilvl w:val="0"/>
          <w:numId w:val="8"/>
        </w:numPr>
        <w:spacing w:before="480" w:beforeAutospacing="0" w:after="120"/>
        <w:ind w:left="180" w:right="-180" w:hanging="270"/>
        <w:rPr>
          <w:rFonts w:ascii="Times New Roman" w:hAnsi="Times New Roman"/>
          <w:bCs/>
          <w:sz w:val="24"/>
          <w:szCs w:val="24"/>
        </w:rPr>
      </w:pPr>
      <w:r w:rsidRPr="00261018">
        <w:rPr>
          <w:rFonts w:ascii="Times New Roman" w:hAnsi="Times New Roman"/>
          <w:bCs/>
          <w:sz w:val="24"/>
          <w:szCs w:val="24"/>
          <w:lang w:val="hy-AM"/>
        </w:rPr>
        <w:t xml:space="preserve"> ՀԱՏՈՒԿ ՊԱՐՏԱԿԱՆՈՒԹՅՈՒՆՆԵՐ ԵՎ ՊԱՏԱՍԽԱՆԱՏՎՈՒԹՅՈՒՆՆԵՐ </w:t>
      </w:r>
    </w:p>
    <w:tbl>
      <w:tblPr>
        <w:tblStyle w:val="ad"/>
        <w:tblW w:w="10103" w:type="dxa"/>
        <w:tblInd w:w="-5" w:type="dxa"/>
        <w:tblLook w:val="04A0" w:firstRow="1" w:lastRow="0" w:firstColumn="1" w:lastColumn="0" w:noHBand="0" w:noVBand="1"/>
      </w:tblPr>
      <w:tblGrid>
        <w:gridCol w:w="10103"/>
      </w:tblGrid>
      <w:tr w:rsidR="005C1C71" w:rsidRPr="00261018" w14:paraId="6C35C615" w14:textId="77777777" w:rsidTr="00277809">
        <w:tc>
          <w:tcPr>
            <w:tcW w:w="10103" w:type="dxa"/>
          </w:tcPr>
          <w:p w14:paraId="33B961A0" w14:textId="77777777" w:rsidR="005C1C71" w:rsidRPr="00261018" w:rsidRDefault="005C1C71" w:rsidP="00277809">
            <w:pPr>
              <w:spacing w:before="100" w:beforeAutospacing="1" w:after="100" w:afterAutospacing="1"/>
              <w:rPr>
                <w:noProof w:val="0"/>
                <w:lang w:val="en-US" w:eastAsia="en-US"/>
              </w:rPr>
            </w:pPr>
            <w:r w:rsidRPr="00261018">
              <w:rPr>
                <w:noProof w:val="0"/>
                <w:lang w:val="en-US" w:eastAsia="en-US"/>
              </w:rPr>
              <w:t xml:space="preserve">Սույն առաջադրանքի նպատակն է Ծրագրի թիմին և համապատասխան ազգային շահագրգիռ կողմերին տրամադրել համապարփակ, բարձր մակարդակի տեխնիկական և ռազմավարական խորհրդատվական աջակցություն՝ ապահովելու ՄԱԶԾ–ԳԷՀ ծրագրի </w:t>
            </w:r>
            <w:r w:rsidRPr="00261018">
              <w:rPr>
                <w:i/>
                <w:iCs/>
                <w:noProof w:val="0"/>
                <w:lang w:val="en-US" w:eastAsia="en-US"/>
              </w:rPr>
              <w:t xml:space="preserve">«Սևանա լճի ավազանում </w:t>
            </w:r>
            <w:r w:rsidRPr="00261018">
              <w:rPr>
                <w:i/>
                <w:iCs/>
                <w:noProof w:val="0"/>
                <w:lang w:val="en-US" w:eastAsia="en-US"/>
              </w:rPr>
              <w:lastRenderedPageBreak/>
              <w:t>հողային ռեսուրսների և բարձրարժեք էկոհամակարգերի պահպանություն և կայուն կառավարում՝ բազմակի օգուտների համար»</w:t>
            </w:r>
            <w:r w:rsidRPr="00261018">
              <w:rPr>
                <w:noProof w:val="0"/>
                <w:lang w:val="en-US" w:eastAsia="en-US"/>
              </w:rPr>
              <w:t xml:space="preserve"> արդյունավետ, ժամանակին և արդյունքներին ուղղված իրականացումը՝ հաստատված Ծրագրային փաստաթղթին, արդյունքների շրջանակին և ՄԱԶԾ–ԳԷՀ քաղաքականություններին ու ընթացակարգերին լիովին համապատասխան։ Միջազգային տեխնիկական խորհրդատուն Ծրագրին կտրամադրի ինչպես երկրային, այնպես էլ հեռավար տեխնիկական և ռազմավարական աջակցություն։ Խորհրդատուն տարվա ընթացքում աջակցություն կտրամադրի հիմնականում հեռավար հիմքով՝ տարեկան մինչև 50 աշխատանքային օր Հայաստանում երկրային ներկայությամբ (ներառյալ՝ Երևան և թիրախային տարածաշրջաններ), ինչպես համաձայնեցված է ՄԱԶԾ/EPIU-ի հետ և տարեկան 50 աշխատանքային օրվա հատկացման շրջանակում։ </w:t>
            </w:r>
          </w:p>
          <w:p w14:paraId="69E2F4A4" w14:textId="77777777" w:rsidR="005C1C71" w:rsidRPr="00261018" w:rsidRDefault="005C1C71" w:rsidP="00277809">
            <w:pPr>
              <w:spacing w:before="100" w:beforeAutospacing="1" w:after="100" w:afterAutospacing="1"/>
              <w:rPr>
                <w:noProof w:val="0"/>
                <w:lang w:eastAsia="en-US"/>
              </w:rPr>
            </w:pPr>
            <w:r w:rsidRPr="00261018">
              <w:rPr>
                <w:noProof w:val="0"/>
                <w:lang w:val="en-US" w:eastAsia="en-US"/>
              </w:rPr>
              <w:t>Տարվա մնացած ժամանակահատվածում Խորհրդատուն կտրամադրի հիմնականում հեռավար տեխնիկական և ռազմավարական աջակցություն՝ նպաստելով արդյունքների վրա հիմնված և հարմարվողական ծրագրային կառավարմանը՝ Ծրագրի բոլոր բաղադրիչների վերաբերյալ փորձագիտական ուղղորդման, ազգային ու միջազգային շահագրգիռ կողմերի և փորձագետների միջև համակարգման դյուրացման, մոնիթորինգի, հաշվետվության, ռիսկերի կառավարման և գիտելիքի կառավարման համակարգերի ամրապնդման, ինչպես նաև միջազգային լավագույն փորձին և Հայաստանի Հանրապետության ազգային իրավական ու ինստիտուցիոնալ շրջանակին համապատասխան ընդլայնելի, կրկնօրինակելի և կայուն լուծումների մշակմանը աջակցելու միջոցով։</w:t>
            </w:r>
          </w:p>
          <w:p w14:paraId="42D0164A" w14:textId="77777777" w:rsidR="005C1C71" w:rsidRPr="00261018" w:rsidRDefault="005C1C71" w:rsidP="00277809">
            <w:pPr>
              <w:pStyle w:val="Normal1"/>
              <w:spacing w:before="480" w:beforeAutospacing="0" w:after="120"/>
              <w:ind w:left="180" w:right="-180"/>
              <w:rPr>
                <w:rFonts w:ascii="Times New Roman" w:hAnsi="Times New Roman"/>
                <w:bCs/>
                <w:sz w:val="24"/>
                <w:szCs w:val="24"/>
                <w:lang w:val="hy-AM"/>
              </w:rPr>
            </w:pPr>
            <w:r w:rsidRPr="00261018">
              <w:rPr>
                <w:rFonts w:ascii="Times New Roman" w:hAnsi="Times New Roman"/>
                <w:bCs/>
                <w:sz w:val="24"/>
                <w:szCs w:val="24"/>
                <w:lang w:val="hy-AM"/>
              </w:rPr>
              <w:t>Աշխատանքի շրջանակ / Պարտականություններ և պատասխանատվություններ (Միջազգային տեխնիկական խորհրդատու)</w:t>
            </w:r>
          </w:p>
          <w:p w14:paraId="43F3DF23" w14:textId="77777777" w:rsidR="005C1C71" w:rsidRPr="00261018" w:rsidRDefault="005C1C71" w:rsidP="00277809">
            <w:pPr>
              <w:rPr>
                <w:noProof w:val="0"/>
                <w:kern w:val="2"/>
                <w:lang w:eastAsia="zh-CN"/>
              </w:rPr>
            </w:pPr>
            <w:r w:rsidRPr="00261018">
              <w:rPr>
                <w:noProof w:val="0"/>
                <w:kern w:val="2"/>
                <w:lang w:eastAsia="zh-CN"/>
              </w:rPr>
              <w:t>Ծրագրի ղեկավարի ընդհանուր ուղղորդման և վերահսկողության ներքո Միջազգային տեխնիկական խորհրդատուն կտրամադրի հիմնականում հեռավար տեխնիկական, ռազմավարական և համակարգման աջակցություն՝ ապահովելու Ծրագրի արդյունքների և վերջնարդյունքների ժամանակին և բարձրորակ իրականացումը՝ համաձայն հաստատված Ծրագրային փաստաթղթի, արդյունքների շրջանակի և ՄԱԶԾ-ԳԷՀ պահանջների։</w:t>
            </w:r>
          </w:p>
          <w:p w14:paraId="7DC41BC6" w14:textId="77777777" w:rsidR="005C1C71" w:rsidRPr="00261018" w:rsidRDefault="005C1C71" w:rsidP="00277809">
            <w:pPr>
              <w:rPr>
                <w:bCs/>
                <w:noProof w:val="0"/>
                <w:kern w:val="2"/>
                <w:lang w:eastAsia="zh-CN"/>
              </w:rPr>
            </w:pPr>
            <w:r w:rsidRPr="00261018">
              <w:rPr>
                <w:bCs/>
                <w:noProof w:val="0"/>
                <w:kern w:val="2"/>
                <w:lang w:eastAsia="zh-CN"/>
              </w:rPr>
              <w:t>1. Տեխնիկական և ռազմավարական ուղղորդում</w:t>
            </w:r>
          </w:p>
          <w:p w14:paraId="676A87DE" w14:textId="77777777" w:rsidR="005C1C71" w:rsidRPr="00261018" w:rsidRDefault="005C1C71" w:rsidP="00277809">
            <w:pPr>
              <w:rPr>
                <w:noProof w:val="0"/>
                <w:kern w:val="2"/>
                <w:lang w:eastAsia="zh-CN"/>
              </w:rPr>
            </w:pPr>
            <w:r w:rsidRPr="00261018">
              <w:rPr>
                <w:noProof w:val="0"/>
                <w:kern w:val="2"/>
                <w:lang w:eastAsia="zh-CN"/>
              </w:rPr>
              <w:t>- Տրամադրել ավագ մակարդակի տեխնիկական խորհրդատվություն Ծրագրի բոլոր բաղադրիչների ուղղությամբ, ներառյալ՝ հողերի դեգրադացիայի չեզոքություն (LDN), ինտեգրված տարածական և հողօգտագործման պլանավորում (ISLUP), հողերի կայուն կառավարում (SLM), կենսաբազմազանության պահպանում և պահպանվող տարածքների կառավարում, ագրոբնապահպանական վճարումների սխեմա (AEPS) և կայուն կենսապահովման միջոցներ։</w:t>
            </w:r>
          </w:p>
          <w:p w14:paraId="7CEB431C" w14:textId="77777777" w:rsidR="005C1C71" w:rsidRPr="00261018" w:rsidRDefault="005C1C71" w:rsidP="00277809">
            <w:pPr>
              <w:rPr>
                <w:noProof w:val="0"/>
                <w:kern w:val="2"/>
                <w:lang w:eastAsia="zh-CN"/>
              </w:rPr>
            </w:pPr>
            <w:r w:rsidRPr="00261018">
              <w:rPr>
                <w:noProof w:val="0"/>
                <w:kern w:val="2"/>
                <w:lang w:eastAsia="zh-CN"/>
              </w:rPr>
              <w:t>- Խորհրդատվություն տրամադրել LDN-ի և կենսաբազմազանության նկատառումների ներառման վերաբերյալ պլանավորման գործիքներում, կառավարման պլաններում և խրախուսման մեխանիզմներում՝ ապահովելով համապատասխանությունը ազգային քաղաքականություններին և միջազգային լավագույն փորձին։</w:t>
            </w:r>
          </w:p>
          <w:p w14:paraId="687A85DA" w14:textId="77777777" w:rsidR="005C1C71" w:rsidRPr="00261018" w:rsidRDefault="005C1C71" w:rsidP="00277809">
            <w:pPr>
              <w:rPr>
                <w:noProof w:val="0"/>
                <w:kern w:val="2"/>
                <w:lang w:eastAsia="zh-CN"/>
              </w:rPr>
            </w:pPr>
            <w:r w:rsidRPr="00261018">
              <w:rPr>
                <w:noProof w:val="0"/>
                <w:kern w:val="2"/>
                <w:lang w:eastAsia="zh-CN"/>
              </w:rPr>
              <w:t>- Բացահայտել առաջացող տեխնիկական ռիսկերն ու հնարավորությունները և առաջարկել գործնական լուծումներ միջամտությունների արդյունավետությունը, ծախսարդյունավետությունը, կայունությունն ու ընդլայնելիությունը բարելավելու համար։</w:t>
            </w:r>
          </w:p>
          <w:p w14:paraId="3F6DDFA0" w14:textId="77777777" w:rsidR="005C1C71" w:rsidRPr="00261018" w:rsidRDefault="005C1C71" w:rsidP="00277809">
            <w:pPr>
              <w:rPr>
                <w:bCs/>
                <w:noProof w:val="0"/>
                <w:kern w:val="2"/>
                <w:lang w:eastAsia="zh-CN"/>
              </w:rPr>
            </w:pPr>
            <w:r w:rsidRPr="00261018">
              <w:t>2. Տեխնիկական որակի ապահովում և խորհրդատվությունների տեխնիկական վերանայում</w:t>
            </w:r>
          </w:p>
          <w:p w14:paraId="7528D862" w14:textId="77777777" w:rsidR="005C1C71" w:rsidRPr="00261018" w:rsidRDefault="005C1C71" w:rsidP="00277809">
            <w:pPr>
              <w:rPr>
                <w:noProof w:val="0"/>
                <w:kern w:val="2"/>
                <w:lang w:eastAsia="zh-CN"/>
              </w:rPr>
            </w:pPr>
            <w:r w:rsidRPr="00261018">
              <w:rPr>
                <w:noProof w:val="0"/>
                <w:kern w:val="2"/>
                <w:lang w:eastAsia="zh-CN"/>
              </w:rPr>
              <w:t>- Տրամադրել տեխնիկական ներդրումներ տեխնիկական առաջադրանքների (ToR), տեխնիկական բնութագրերի, մեթոդաբանությունների, ուղեցույցների, վերապատրաստման նյութերի և վերլուծական հաշվետվությունների մշակման և վերանայման գործում։</w:t>
            </w:r>
          </w:p>
          <w:p w14:paraId="3B0230F2" w14:textId="77777777" w:rsidR="005C1C71" w:rsidRPr="00261018" w:rsidRDefault="005C1C71" w:rsidP="00277809">
            <w:pPr>
              <w:rPr>
                <w:noProof w:val="0"/>
                <w:kern w:val="2"/>
                <w:lang w:eastAsia="zh-CN"/>
              </w:rPr>
            </w:pPr>
            <w:r w:rsidRPr="00261018">
              <w:rPr>
                <w:noProof w:val="0"/>
                <w:kern w:val="2"/>
                <w:lang w:eastAsia="zh-CN"/>
              </w:rPr>
              <w:t>- Վերանայել և գրավոր տեխնիկական կարծիք տրամադրել խորհրդատուների, ծառայություն մատուցողների և գործընկերների կողմից պատրաստված արդյունքների վերաբերյալ. ստուգել տեխնիկական հիմնավորվածությունը, ներքին համահունչությունը և նպատակին համապատասխանությունը։</w:t>
            </w:r>
          </w:p>
          <w:p w14:paraId="5E1C8BCE" w14:textId="77777777" w:rsidR="005C1C71" w:rsidRPr="00261018" w:rsidRDefault="005C1C71" w:rsidP="00277809">
            <w:pPr>
              <w:rPr>
                <w:noProof w:val="0"/>
                <w:kern w:val="2"/>
                <w:lang w:eastAsia="zh-CN"/>
              </w:rPr>
            </w:pPr>
            <w:r w:rsidRPr="00261018">
              <w:rPr>
                <w:noProof w:val="0"/>
                <w:kern w:val="2"/>
                <w:lang w:eastAsia="zh-CN"/>
              </w:rPr>
              <w:t>- Աջակցել Ծրագրի ղեկավարին մի քանի խորհրդատուներից ստացվող տեխնիկական ներդրումների համակարգման և հաջորդականացման հարցում՝ կրկնություններից խուսափելու և բաղադրիչների միջև փոխլրացումը ապահովելու նպատակով։</w:t>
            </w:r>
          </w:p>
          <w:p w14:paraId="082C3A27" w14:textId="77777777" w:rsidR="005C1C71" w:rsidRPr="00261018" w:rsidRDefault="005C1C71" w:rsidP="00277809">
            <w:pPr>
              <w:rPr>
                <w:bCs/>
                <w:noProof w:val="0"/>
                <w:kern w:val="2"/>
                <w:lang w:eastAsia="zh-CN"/>
              </w:rPr>
            </w:pPr>
            <w:r w:rsidRPr="00261018">
              <w:rPr>
                <w:bCs/>
                <w:noProof w:val="0"/>
                <w:kern w:val="2"/>
                <w:lang w:eastAsia="zh-CN"/>
              </w:rPr>
              <w:lastRenderedPageBreak/>
              <w:t>3. Համակարգում, շահագրգիռ կողմերի ներգրավում և գործընկերություններ</w:t>
            </w:r>
          </w:p>
          <w:p w14:paraId="23BF9541" w14:textId="77777777" w:rsidR="005C1C71" w:rsidRPr="00261018" w:rsidRDefault="005C1C71" w:rsidP="00277809">
            <w:pPr>
              <w:rPr>
                <w:noProof w:val="0"/>
                <w:kern w:val="2"/>
                <w:lang w:eastAsia="zh-CN"/>
              </w:rPr>
            </w:pPr>
            <w:r w:rsidRPr="00261018">
              <w:rPr>
                <w:noProof w:val="0"/>
                <w:kern w:val="2"/>
                <w:lang w:eastAsia="zh-CN"/>
              </w:rPr>
              <w:t>- Դյուրացնել ազգային և միջազգային փորձագետների, Իրականացնող գործընկերոջ, Պատասխանատու կողմի և այլ շահագրգիռ կողմերի արդյունավետ համակարգումը վիրտուալ համակարգման մեխանիզմների և հետագա գործողությունների միջոցով։</w:t>
            </w:r>
          </w:p>
          <w:p w14:paraId="07CDA31A" w14:textId="77777777" w:rsidR="005C1C71" w:rsidRPr="00261018" w:rsidRDefault="005C1C71" w:rsidP="00277809">
            <w:pPr>
              <w:rPr>
                <w:noProof w:val="0"/>
                <w:kern w:val="2"/>
                <w:lang w:eastAsia="zh-CN"/>
              </w:rPr>
            </w:pPr>
            <w:r w:rsidRPr="00261018">
              <w:rPr>
                <w:noProof w:val="0"/>
                <w:kern w:val="2"/>
                <w:lang w:eastAsia="zh-CN"/>
              </w:rPr>
              <w:t>- Աջակցել կառավարության մարմինների, տեղական իշխանությունների, ակադեմիական հաստատությունների, ՀԿ-ների, համայնքային կազմակերպությունների, դոնորների և մասնավոր հատվածի հետ ներգրավմանը և գործընկերությունների ձևավորմանը՝ ապահովելով ներառական և գենդերային տեսանկյունից պատասխանատու մասնակցություն։</w:t>
            </w:r>
          </w:p>
          <w:p w14:paraId="76F6D0AB" w14:textId="77777777" w:rsidR="005C1C71" w:rsidRPr="00261018" w:rsidRDefault="005C1C71" w:rsidP="00277809">
            <w:pPr>
              <w:rPr>
                <w:noProof w:val="0"/>
                <w:kern w:val="2"/>
                <w:lang w:eastAsia="zh-CN"/>
              </w:rPr>
            </w:pPr>
            <w:r w:rsidRPr="00261018">
              <w:rPr>
                <w:noProof w:val="0"/>
                <w:kern w:val="2"/>
                <w:lang w:eastAsia="zh-CN"/>
              </w:rPr>
              <w:t>- Պատրաստել տեխնիկական տեղեկանքներ, շնորհանդեսներ և այլ ներդրումներ Ծրագրի ղեկավար կոմիտեի նիստերի համար և աջակցել համաձայնեցված որոշումների ու հետագա գործողությունների փաստաթղթավորմանը։</w:t>
            </w:r>
          </w:p>
          <w:p w14:paraId="75B0211C" w14:textId="77777777" w:rsidR="005C1C71" w:rsidRPr="00261018" w:rsidRDefault="005C1C71" w:rsidP="00277809">
            <w:pPr>
              <w:rPr>
                <w:noProof w:val="0"/>
                <w:kern w:val="2"/>
                <w:lang w:eastAsia="zh-CN"/>
              </w:rPr>
            </w:pPr>
            <w:r w:rsidRPr="00261018">
              <w:rPr>
                <w:noProof w:val="0"/>
                <w:kern w:val="2"/>
                <w:lang w:eastAsia="zh-CN"/>
              </w:rPr>
              <w:t>- Անհրաժեշտության դեպքում տրամադրել տեխնիկական ներդրումներ Ծրագրի իրականացմանն առնչվող համագործակցության համաձայնագրերի և փոխըմբռնման հուշագրերի նախագծման և/կամ վերանայման համար։</w:t>
            </w:r>
          </w:p>
          <w:p w14:paraId="00F32C15" w14:textId="77777777" w:rsidR="005C1C71" w:rsidRPr="00261018" w:rsidRDefault="005C1C71" w:rsidP="00277809">
            <w:pPr>
              <w:rPr>
                <w:bCs/>
                <w:noProof w:val="0"/>
                <w:kern w:val="2"/>
                <w:lang w:eastAsia="zh-CN"/>
              </w:rPr>
            </w:pPr>
            <w:r w:rsidRPr="00261018">
              <w:rPr>
                <w:bCs/>
                <w:noProof w:val="0"/>
                <w:kern w:val="2"/>
                <w:lang w:eastAsia="zh-CN"/>
              </w:rPr>
              <w:t>4. Մոնիթորինգ, հաշվետվություն, հարմարվողական կառավարում և ռիսկ</w:t>
            </w:r>
          </w:p>
          <w:p w14:paraId="0BEECD51" w14:textId="77777777" w:rsidR="005C1C71" w:rsidRPr="00261018" w:rsidRDefault="005C1C71" w:rsidP="00277809">
            <w:pPr>
              <w:rPr>
                <w:noProof w:val="0"/>
                <w:kern w:val="2"/>
                <w:lang w:eastAsia="zh-CN"/>
              </w:rPr>
            </w:pPr>
            <w:r w:rsidRPr="00261018">
              <w:rPr>
                <w:noProof w:val="0"/>
                <w:kern w:val="2"/>
                <w:lang w:eastAsia="zh-CN"/>
              </w:rPr>
              <w:t>- Աջակցել արդյունքների վրա հիմնված մոնիթորինգի համակարգերի ստեղծմանը և կիրառմանը (ցուցանիշների հետևում, տվյալների որակի ապահովում, ապացույցների հավաքագրում և փաստաթղթավորում)՝ հարմարվողական կառավարումը տեղեկացնելու համար։</w:t>
            </w:r>
          </w:p>
          <w:p w14:paraId="63474BEE" w14:textId="77777777" w:rsidR="005C1C71" w:rsidRPr="00261018" w:rsidRDefault="005C1C71" w:rsidP="00277809">
            <w:pPr>
              <w:rPr>
                <w:noProof w:val="0"/>
                <w:kern w:val="2"/>
                <w:lang w:eastAsia="zh-CN"/>
              </w:rPr>
            </w:pPr>
            <w:r w:rsidRPr="00261018">
              <w:rPr>
                <w:noProof w:val="0"/>
                <w:kern w:val="2"/>
                <w:lang w:eastAsia="zh-CN"/>
              </w:rPr>
              <w:t>- Տրամադրել տեխնիկական ներդրումներ և որակի ապահովում եռամսյակային, տարեկան և այլ առաջընթացի հաշվետվություններին՝ ՄԱԶԾ-ի և ԳԷՀ-ի հաշվետվական պահանջներին համապատասխան, ներառյալ քաղված դասերը և առաջարկությունները։</w:t>
            </w:r>
          </w:p>
          <w:p w14:paraId="4138D4F2" w14:textId="77777777" w:rsidR="005C1C71" w:rsidRPr="00261018" w:rsidRDefault="005C1C71" w:rsidP="00277809">
            <w:pPr>
              <w:rPr>
                <w:noProof w:val="0"/>
                <w:kern w:val="2"/>
                <w:lang w:eastAsia="zh-CN"/>
              </w:rPr>
            </w:pPr>
            <w:r w:rsidRPr="00261018">
              <w:rPr>
                <w:noProof w:val="0"/>
                <w:kern w:val="2"/>
                <w:lang w:eastAsia="zh-CN"/>
              </w:rPr>
              <w:t>- Տրամադրել տեխնիկական ուղղորդում ռիսկերի բացահայտման, մոնիթորինգի և մեղմման միջոցառումների վերաբերյալ, ներառյալ ռիսկերի գրանցամատյանի և Սոցիալական ու բնապահպանական ստանդարտների (SES) հետ կապված գործողությունների թարմացման աջակցությունը՝ կիրառելի լինելու դեպքում։</w:t>
            </w:r>
          </w:p>
          <w:p w14:paraId="3C4E243A" w14:textId="77777777" w:rsidR="005C1C71" w:rsidRPr="00261018" w:rsidRDefault="005C1C71" w:rsidP="00277809">
            <w:pPr>
              <w:rPr>
                <w:noProof w:val="0"/>
                <w:kern w:val="2"/>
                <w:lang w:eastAsia="zh-CN"/>
              </w:rPr>
            </w:pPr>
            <w:r w:rsidRPr="00261018">
              <w:rPr>
                <w:noProof w:val="0"/>
                <w:kern w:val="2"/>
                <w:lang w:eastAsia="zh-CN"/>
              </w:rPr>
              <w:t>- Տրամադրել խորհրդատվական ներդրումներ տարեկան աշխատանքային պլանավորման և տեխնիկական արդյունքների առաջնահերթացման համար՝ Ծրագրի ղեկավարի և ՄԱԶԾ-ի հետ համակարգմամբ։</w:t>
            </w:r>
          </w:p>
          <w:p w14:paraId="1CD09685" w14:textId="77777777" w:rsidR="005C1C71" w:rsidRPr="00261018" w:rsidRDefault="005C1C71" w:rsidP="00277809">
            <w:pPr>
              <w:rPr>
                <w:bCs/>
                <w:noProof w:val="0"/>
                <w:kern w:val="2"/>
                <w:lang w:eastAsia="zh-CN"/>
              </w:rPr>
            </w:pPr>
            <w:r w:rsidRPr="00261018">
              <w:rPr>
                <w:bCs/>
                <w:noProof w:val="0"/>
                <w:kern w:val="2"/>
                <w:lang w:eastAsia="zh-CN"/>
              </w:rPr>
              <w:t>5. Գիտելիքի կառավարում, հաղորդակցություններ և տեսանելիություն</w:t>
            </w:r>
          </w:p>
          <w:p w14:paraId="092B30CE" w14:textId="77777777" w:rsidR="005C1C71" w:rsidRPr="00261018" w:rsidRDefault="005C1C71" w:rsidP="00277809">
            <w:pPr>
              <w:rPr>
                <w:noProof w:val="0"/>
                <w:kern w:val="2"/>
                <w:lang w:eastAsia="zh-CN"/>
              </w:rPr>
            </w:pPr>
            <w:r w:rsidRPr="00261018">
              <w:rPr>
                <w:noProof w:val="0"/>
                <w:kern w:val="2"/>
                <w:lang w:eastAsia="zh-CN"/>
              </w:rPr>
              <w:t>- Աջակցել լավագույն պրակտիկաների և քաղված դասերի փաստաթղթավորմանը և փաթեթավորմանը գիտելիքային արտադրանքներում, ինչպես նաև դրանց տարածմանը համապատասխան թվային և գործընկերային հարթակների միջոցով։</w:t>
            </w:r>
          </w:p>
          <w:p w14:paraId="58FC030F" w14:textId="77777777" w:rsidR="005C1C71" w:rsidRPr="00261018" w:rsidRDefault="005C1C71" w:rsidP="00277809">
            <w:pPr>
              <w:rPr>
                <w:noProof w:val="0"/>
                <w:kern w:val="2"/>
                <w:lang w:eastAsia="zh-CN"/>
              </w:rPr>
            </w:pPr>
            <w:r w:rsidRPr="00261018">
              <w:rPr>
                <w:noProof w:val="0"/>
                <w:kern w:val="2"/>
                <w:lang w:eastAsia="zh-CN"/>
              </w:rPr>
              <w:t>- Վերանայել հաղորդակցական և տեղեկատվական նյութերը տեխնիկական ճշգրտության և ՄԱԶԾ տեսանելիության պահանջներին համապատասխանության տեսանկյունից. աջակցել շահագրգիռ կողմերի տեխնիկական հարցումներին պատասխանելուն։</w:t>
            </w:r>
          </w:p>
          <w:p w14:paraId="570E4771" w14:textId="77777777" w:rsidR="005C1C71" w:rsidRPr="00261018" w:rsidRDefault="005C1C71" w:rsidP="00277809">
            <w:pPr>
              <w:rPr>
                <w:bCs/>
                <w:noProof w:val="0"/>
                <w:kern w:val="2"/>
                <w:lang w:eastAsia="zh-CN"/>
              </w:rPr>
            </w:pPr>
            <w:r w:rsidRPr="00261018">
              <w:rPr>
                <w:bCs/>
                <w:noProof w:val="0"/>
                <w:kern w:val="2"/>
                <w:lang w:eastAsia="zh-CN"/>
              </w:rPr>
              <w:t>6. Ընդլայնում, կրկնօրինակում և կայունություն</w:t>
            </w:r>
          </w:p>
          <w:p w14:paraId="59D79097" w14:textId="77777777" w:rsidR="005C1C71" w:rsidRPr="00261018" w:rsidRDefault="005C1C71" w:rsidP="00277809">
            <w:pPr>
              <w:rPr>
                <w:noProof w:val="0"/>
                <w:kern w:val="2"/>
                <w:lang w:eastAsia="zh-CN"/>
              </w:rPr>
            </w:pPr>
            <w:r w:rsidRPr="00261018">
              <w:rPr>
                <w:noProof w:val="0"/>
                <w:kern w:val="2"/>
                <w:lang w:eastAsia="zh-CN"/>
              </w:rPr>
              <w:t>- Ղեկավարել կամ համակարգել հաջողված Ծրագրային միջամտությունների (ներառյալ AEPS-ը և հիմնական պլանավորման ու կառավարման գործիքները) ընդլայնման, կրկնօրինակման և կայունության ռազմավարության մշակումը՝ ներառելով ինստիտուցիոնալ պայմանավորվածություններ, ֆինանսավորման տարբերակներ, գործընկերություններ և քաղաքականության առաջարկություններ։</w:t>
            </w:r>
          </w:p>
          <w:p w14:paraId="3DD2E931" w14:textId="77777777" w:rsidR="005C1C71" w:rsidRPr="00261018" w:rsidRDefault="005C1C71" w:rsidP="00277809">
            <w:pPr>
              <w:rPr>
                <w:noProof w:val="0"/>
                <w:kern w:val="2"/>
                <w:lang w:eastAsia="zh-CN"/>
              </w:rPr>
            </w:pPr>
            <w:r w:rsidRPr="00261018">
              <w:rPr>
                <w:noProof w:val="0"/>
                <w:kern w:val="2"/>
                <w:lang w:eastAsia="zh-CN"/>
              </w:rPr>
              <w:t>- Ներկայացնել ընդլայնման և կրկնօրինակման ռազմավարությունը Ծրագրի ղեկավար կոմիտեին և շահագրգիռ կողմերին, ներառել հետադարձ կապը և աջակցել հաստատմանն ու հետագա գործողություններին։</w:t>
            </w:r>
          </w:p>
          <w:p w14:paraId="5F48CBB3" w14:textId="77777777" w:rsidR="005C1C71" w:rsidRPr="00261018" w:rsidRDefault="005C1C71" w:rsidP="00277809">
            <w:pPr>
              <w:rPr>
                <w:bCs/>
                <w:noProof w:val="0"/>
                <w:kern w:val="2"/>
                <w:lang w:eastAsia="zh-CN"/>
              </w:rPr>
            </w:pPr>
            <w:r w:rsidRPr="00261018">
              <w:rPr>
                <w:bCs/>
                <w:noProof w:val="0"/>
                <w:kern w:val="2"/>
                <w:lang w:eastAsia="zh-CN"/>
              </w:rPr>
              <w:t>7. Դաշտային աջակցություն (համաձայնեցված կարգով)</w:t>
            </w:r>
          </w:p>
          <w:p w14:paraId="06BB7623" w14:textId="77777777" w:rsidR="005C1C71" w:rsidRPr="00261018" w:rsidRDefault="005C1C71" w:rsidP="00277809">
            <w:pPr>
              <w:rPr>
                <w:noProof w:val="0"/>
                <w:kern w:val="2"/>
                <w:lang w:eastAsia="zh-CN"/>
              </w:rPr>
            </w:pPr>
            <w:r w:rsidRPr="00261018">
              <w:rPr>
                <w:noProof w:val="0"/>
                <w:kern w:val="2"/>
                <w:lang w:eastAsia="zh-CN"/>
              </w:rPr>
              <w:t>- Իրականացնել համաձայնեցված առաքելություններ Հայաստան և/կամ թիրախային վայրեր՝ իրականացման առաջընթացը հաստատելու, հիմնական խորհրդակցություններին և կարողությունների զարգացման միջոցառումներին աջակցելու և տեղում տեխնիկական ուղղորդում տրամադրելու համար. փաստաթղթավորել առաքելության արդյունքներն ու առաջարկությունները։</w:t>
            </w:r>
          </w:p>
          <w:p w14:paraId="60AFC39A" w14:textId="77777777" w:rsidR="005C1C71" w:rsidRPr="00261018" w:rsidRDefault="005C1C71" w:rsidP="00277809">
            <w:pPr>
              <w:rPr>
                <w:noProof w:val="0"/>
                <w:kern w:val="2"/>
                <w:lang w:eastAsia="zh-CN"/>
              </w:rPr>
            </w:pPr>
            <w:r w:rsidRPr="00261018">
              <w:rPr>
                <w:noProof w:val="0"/>
                <w:kern w:val="2"/>
                <w:lang w:eastAsia="zh-CN"/>
              </w:rPr>
              <w:t>8. Ծրագրի փակման աջակցություն</w:t>
            </w:r>
          </w:p>
          <w:p w14:paraId="51EFCF33" w14:textId="77777777" w:rsidR="005C1C71" w:rsidRPr="00261018" w:rsidRDefault="005C1C71" w:rsidP="00277809">
            <w:pPr>
              <w:rPr>
                <w:noProof w:val="0"/>
                <w:kern w:val="2"/>
                <w:lang w:eastAsia="zh-CN"/>
              </w:rPr>
            </w:pPr>
            <w:r w:rsidRPr="00261018">
              <w:rPr>
                <w:noProof w:val="0"/>
                <w:kern w:val="2"/>
                <w:lang w:eastAsia="zh-CN"/>
              </w:rPr>
              <w:t xml:space="preserve">- Տրամադրել տեխնիկական աջակցություն Ծրագրի թիմին փակման փուլում, ներառյալ ներդրումներ պահանջվող գնահատումներին (միջնաժամկետ վերանայում և վերջնական </w:t>
            </w:r>
            <w:r w:rsidRPr="00261018">
              <w:rPr>
                <w:noProof w:val="0"/>
                <w:kern w:val="2"/>
                <w:lang w:eastAsia="zh-CN"/>
              </w:rPr>
              <w:lastRenderedPageBreak/>
              <w:t>գնահատում), ինչպես նաև վերջնական տեխնիկական արդյունքների և գիտելիքային արտադրանքների համախմբում։</w:t>
            </w:r>
          </w:p>
          <w:p w14:paraId="77ECB2B6" w14:textId="77777777" w:rsidR="005C1C71" w:rsidRPr="00261018" w:rsidRDefault="005C1C71" w:rsidP="00277809">
            <w:pPr>
              <w:rPr>
                <w:noProof w:val="0"/>
                <w:kern w:val="2"/>
                <w:lang w:eastAsia="zh-CN"/>
              </w:rPr>
            </w:pPr>
          </w:p>
          <w:p w14:paraId="4E90F27E" w14:textId="77777777" w:rsidR="005C1C71" w:rsidRPr="00261018" w:rsidRDefault="005C1C71" w:rsidP="00277809">
            <w:pPr>
              <w:rPr>
                <w:noProof w:val="0"/>
                <w:kern w:val="2"/>
                <w:lang w:eastAsia="zh-CN"/>
              </w:rPr>
            </w:pPr>
            <w:r w:rsidRPr="00261018">
              <w:rPr>
                <w:noProof w:val="0"/>
                <w:kern w:val="2"/>
                <w:lang w:eastAsia="zh-CN"/>
              </w:rPr>
              <w:t>Տարվա ընթացքում հեռավար խորհրդատվական աջակցության հետ մեկտեղ Խորհրդատուն կարող է իրականացնել Հայաստանում երկրային առաքելություններ՝ տարեկան մինչև 50 աշխատանքային օր՝ տարեկան 50 աշխատանքային օրվա հատկացումների շրջանակում, ինչպես համաձայնեցված է ՄԱԶԾ/EPIU-ի հետ, որպեսզի ապահովվի գործնական ներգրավվածություն Ծրագրի թիմի և շահագրգիռ կողմերի հետ։ Երկրային առաքելությունների ընթացքում Խորհրդատուն պետք է իրականացնի սույն Տեխնիկական բնութագրով նախատեսված բոլոր գործառույթները, ներառյալ՝ տեխնիկական ուղղորդում, խորհրդակցություններ, որակի ապահովում, համակարգման հանդիպումներ և Ծրագրի միջամտությունների դաշտային վավերացում։</w:t>
            </w:r>
          </w:p>
          <w:p w14:paraId="29B3A7B6" w14:textId="77777777" w:rsidR="005C1C71" w:rsidRPr="00261018" w:rsidRDefault="005C1C71" w:rsidP="00277809">
            <w:r w:rsidRPr="00261018">
              <w:t xml:space="preserve">Առաջադրանքի արդյունավետ կատարումն ապահովելու համար Ծրագրի կառավարման միավորը (EPIU) Միջազգային տեխնիկական խորհրդատուին կտրամադրի </w:t>
            </w:r>
            <w:r w:rsidRPr="00261018">
              <w:rPr>
                <w:rStyle w:val="aff5"/>
                <w:rFonts w:eastAsiaTheme="majorEastAsia"/>
              </w:rPr>
              <w:t>բոլոր համապատասխան ծրագրային փաստաթղթերին և տեղեկատվությանը ժամանակին հասանելիություն</w:t>
            </w:r>
            <w:r w:rsidRPr="00261018">
              <w:t>, ներառյալ, բայց չսահմանափակվելով՝ Ծրագրային փաստաթուղթը, արդյունքների շրջանակը, տարեկան և եռամսյակային աշխատանքային պլանները, մոնիթորինգի և առաջընթացի հաշվետվությունները, ֆինանսական և գնումներին առնչվող տեղեկատվությունը (կիրառելիության դեպքում), խորհրդատուների ներկայացվող արդյունքները, հանդիպումների արձանագրությունները և սույն տեխնիկական առաջադրանքի շրջանակում պարտականությունների կատարման համար անհրաժեշտ ցանկացած այլ նյութ։</w:t>
            </w:r>
          </w:p>
        </w:tc>
      </w:tr>
    </w:tbl>
    <w:p w14:paraId="65FD1314" w14:textId="77777777" w:rsidR="005C1C71" w:rsidRPr="00261018" w:rsidRDefault="005C1C71" w:rsidP="005C1C71">
      <w:pPr>
        <w:pStyle w:val="Normal1"/>
        <w:numPr>
          <w:ilvl w:val="0"/>
          <w:numId w:val="8"/>
        </w:numPr>
        <w:spacing w:before="480" w:beforeAutospacing="0" w:after="120"/>
        <w:ind w:left="180" w:right="-180" w:hanging="270"/>
        <w:rPr>
          <w:rFonts w:ascii="Times New Roman" w:hAnsi="Times New Roman"/>
          <w:bCs/>
          <w:sz w:val="24"/>
          <w:szCs w:val="24"/>
        </w:rPr>
      </w:pPr>
      <w:r w:rsidRPr="00261018">
        <w:rPr>
          <w:rFonts w:ascii="Times New Roman" w:hAnsi="Times New Roman"/>
          <w:bCs/>
          <w:sz w:val="24"/>
          <w:szCs w:val="24"/>
          <w:lang w:val="hy-AM"/>
        </w:rPr>
        <w:lastRenderedPageBreak/>
        <w:t> </w:t>
      </w:r>
      <w:r w:rsidRPr="00261018">
        <w:rPr>
          <w:rFonts w:ascii="Times New Roman" w:hAnsi="Times New Roman"/>
          <w:bCs/>
          <w:sz w:val="24"/>
          <w:szCs w:val="24"/>
        </w:rPr>
        <w:t xml:space="preserve">ԱԿՆԿԱԼՎՈՂ ԱՐԴՅՈՒՆՔՆԵՐ </w:t>
      </w:r>
    </w:p>
    <w:p w14:paraId="38D1E56B" w14:textId="77777777" w:rsidR="005C1C71" w:rsidRPr="00261018" w:rsidRDefault="005C1C71" w:rsidP="005C1C71">
      <w:pPr>
        <w:tabs>
          <w:tab w:val="left" w:pos="360"/>
        </w:tabs>
        <w:spacing w:before="120" w:after="120"/>
      </w:pPr>
      <w:r w:rsidRPr="00261018">
        <w:t>Միջազգային խորհրդատուն պատասխանատու է 2026-2028 թվականների պայմանագրային ժամանակահատվածում (մինչև 150 աշխատանքային օր երեք տարվա ընթացքում՝ բաշխված տարեկան 50 աշխատանքային օր սկզբունքով) հետևյալ արդյունքների ապահովման համար․</w:t>
      </w:r>
    </w:p>
    <w:tbl>
      <w:tblPr>
        <w:tblStyle w:val="GridTable4-Accent1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256"/>
        <w:gridCol w:w="2088"/>
        <w:gridCol w:w="1080"/>
        <w:gridCol w:w="936"/>
      </w:tblGrid>
      <w:tr w:rsidR="005C1C71" w:rsidRPr="00261018" w14:paraId="64C987CD" w14:textId="77777777" w:rsidTr="0027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Borders>
              <w:top w:val="single" w:sz="4" w:space="0" w:color="auto"/>
              <w:left w:val="single" w:sz="4" w:space="0" w:color="auto"/>
              <w:bottom w:val="single" w:sz="4" w:space="0" w:color="auto"/>
              <w:right w:val="single" w:sz="4" w:space="0" w:color="auto"/>
            </w:tcBorders>
            <w:shd w:val="clear" w:color="auto" w:fill="auto"/>
            <w:hideMark/>
          </w:tcPr>
          <w:p w14:paraId="675B1D13" w14:textId="77777777" w:rsidR="005C1C71" w:rsidRPr="00261018" w:rsidRDefault="005C1C71" w:rsidP="00277809">
            <w:pPr>
              <w:rPr>
                <w:b w:val="0"/>
                <w:color w:val="auto"/>
              </w:rPr>
            </w:pPr>
          </w:p>
        </w:tc>
        <w:tc>
          <w:tcPr>
            <w:tcW w:w="5256" w:type="dxa"/>
            <w:tcBorders>
              <w:top w:val="single" w:sz="4" w:space="0" w:color="auto"/>
              <w:left w:val="single" w:sz="4" w:space="0" w:color="auto"/>
              <w:bottom w:val="single" w:sz="4" w:space="0" w:color="auto"/>
              <w:right w:val="single" w:sz="4" w:space="0" w:color="auto"/>
            </w:tcBorders>
            <w:shd w:val="clear" w:color="auto" w:fill="auto"/>
            <w:hideMark/>
          </w:tcPr>
          <w:p w14:paraId="2D774EA0" w14:textId="77777777" w:rsidR="005C1C71" w:rsidRPr="00261018" w:rsidRDefault="005C1C71" w:rsidP="00277809">
            <w:pPr>
              <w:cnfStyle w:val="100000000000" w:firstRow="1" w:lastRow="0" w:firstColumn="0" w:lastColumn="0" w:oddVBand="0" w:evenVBand="0" w:oddHBand="0" w:evenHBand="0" w:firstRowFirstColumn="0" w:firstRowLastColumn="0" w:lastRowFirstColumn="0" w:lastRowLastColumn="0"/>
              <w:rPr>
                <w:b w:val="0"/>
                <w:color w:val="auto"/>
              </w:rPr>
            </w:pPr>
            <w:r w:rsidRPr="00261018">
              <w:rPr>
                <w:b w:val="0"/>
                <w:color w:val="auto"/>
                <w:sz w:val="20"/>
              </w:rPr>
              <w:t>Ներկայացվող արդյունքներ</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5510191B" w14:textId="77777777" w:rsidR="005C1C71" w:rsidRPr="00261018" w:rsidRDefault="005C1C71" w:rsidP="00277809">
            <w:pPr>
              <w:cnfStyle w:val="100000000000" w:firstRow="1" w:lastRow="0" w:firstColumn="0" w:lastColumn="0" w:oddVBand="0" w:evenVBand="0" w:oddHBand="0" w:evenHBand="0" w:firstRowFirstColumn="0" w:firstRowLastColumn="0" w:lastRowFirstColumn="0" w:lastRowLastColumn="0"/>
              <w:rPr>
                <w:b w:val="0"/>
                <w:color w:val="auto"/>
              </w:rPr>
            </w:pPr>
            <w:r w:rsidRPr="00261018">
              <w:rPr>
                <w:b w:val="0"/>
                <w:color w:val="auto"/>
                <w:sz w:val="20"/>
              </w:rPr>
              <w:t>Կողմնորոշիչ ժամկետ</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9FF780" w14:textId="77777777" w:rsidR="005C1C71" w:rsidRPr="00261018" w:rsidRDefault="005C1C71" w:rsidP="00277809">
            <w:pPr>
              <w:cnfStyle w:val="100000000000" w:firstRow="1" w:lastRow="0" w:firstColumn="0" w:lastColumn="0" w:oddVBand="0" w:evenVBand="0" w:oddHBand="0" w:evenHBand="0" w:firstRowFirstColumn="0" w:firstRowLastColumn="0" w:lastRowFirstColumn="0" w:lastRowLastColumn="0"/>
              <w:rPr>
                <w:b w:val="0"/>
                <w:color w:val="auto"/>
              </w:rPr>
            </w:pPr>
            <w:r w:rsidRPr="00261018">
              <w:rPr>
                <w:b w:val="0"/>
                <w:color w:val="auto"/>
                <w:sz w:val="20"/>
              </w:rPr>
              <w:t>Օրերի թիվ</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4E6C969" w14:textId="77777777" w:rsidR="005C1C71" w:rsidRPr="00261018" w:rsidRDefault="005C1C71" w:rsidP="00277809">
            <w:pPr>
              <w:cnfStyle w:val="100000000000" w:firstRow="1" w:lastRow="0" w:firstColumn="0" w:lastColumn="0" w:oddVBand="0" w:evenVBand="0" w:oddHBand="0" w:evenHBand="0" w:firstRowFirstColumn="0" w:firstRowLastColumn="0" w:lastRowFirstColumn="0" w:lastRowLastColumn="0"/>
              <w:rPr>
                <w:b w:val="0"/>
                <w:color w:val="auto"/>
              </w:rPr>
            </w:pPr>
            <w:r w:rsidRPr="00261018">
              <w:rPr>
                <w:b w:val="0"/>
                <w:color w:val="auto"/>
                <w:sz w:val="20"/>
              </w:rPr>
              <w:t>Կշիռ (%)</w:t>
            </w:r>
          </w:p>
        </w:tc>
      </w:tr>
      <w:tr w:rsidR="005C1C71" w:rsidRPr="00261018" w14:paraId="745010A9" w14:textId="77777777" w:rsidTr="00277809">
        <w:trPr>
          <w:cnfStyle w:val="000000100000" w:firstRow="0" w:lastRow="0" w:firstColumn="0" w:lastColumn="0" w:oddVBand="0" w:evenVBand="0" w:oddHBand="1" w:evenHBand="0" w:firstRowFirstColumn="0" w:firstRowLastColumn="0" w:lastRowFirstColumn="0" w:lastRowLastColumn="0"/>
          <w:trHeight w:val="3104"/>
        </w:trPr>
        <w:tc>
          <w:tcPr>
            <w:cnfStyle w:val="001000000000" w:firstRow="0" w:lastRow="0" w:firstColumn="1" w:lastColumn="0" w:oddVBand="0" w:evenVBand="0" w:oddHBand="0" w:evenHBand="0" w:firstRowFirstColumn="0" w:firstRowLastColumn="0" w:lastRowFirstColumn="0" w:lastRowLastColumn="0"/>
            <w:tcW w:w="360" w:type="dxa"/>
            <w:tcBorders>
              <w:top w:val="single" w:sz="4" w:space="0" w:color="auto"/>
            </w:tcBorders>
            <w:shd w:val="clear" w:color="auto" w:fill="auto"/>
            <w:hideMark/>
          </w:tcPr>
          <w:p w14:paraId="226BA854" w14:textId="77777777" w:rsidR="005C1C71" w:rsidRPr="00261018" w:rsidRDefault="005C1C71" w:rsidP="00277809">
            <w:pPr>
              <w:rPr>
                <w:b w:val="0"/>
              </w:rPr>
            </w:pPr>
            <w:r w:rsidRPr="00261018">
              <w:rPr>
                <w:b w:val="0"/>
                <w:sz w:val="20"/>
              </w:rPr>
              <w:t>1</w:t>
            </w:r>
          </w:p>
        </w:tc>
        <w:tc>
          <w:tcPr>
            <w:tcW w:w="5256" w:type="dxa"/>
            <w:tcBorders>
              <w:top w:val="single" w:sz="4" w:space="0" w:color="auto"/>
            </w:tcBorders>
            <w:shd w:val="clear" w:color="auto" w:fill="auto"/>
            <w:hideMark/>
          </w:tcPr>
          <w:p w14:paraId="172564BA"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pPr>
            <w:r w:rsidRPr="00261018">
              <w:rPr>
                <w:sz w:val="20"/>
              </w:rPr>
              <w:t>Մեկնարկային և տեխնիկական խորհրդատվական աշխատանքի պլանավորման փաթեթ</w:t>
            </w:r>
          </w:p>
          <w:p w14:paraId="1095EE9E"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pPr>
            <w:r w:rsidRPr="00261018">
              <w:rPr>
                <w:sz w:val="20"/>
              </w:rPr>
              <w:t>• Մեկնարկային աշխատաժողովի ավարտից հետո մեկնարկային փաստաթղթերի վերանայում, ներառյալ՝ մեկնարկային հաշվետվությունը, SPR հաշվետվությունները, SESP հաշվետվությունները, մոնիթորինգի հաշվետվությունները և տարեկան PIR-ը։</w:t>
            </w:r>
          </w:p>
          <w:p w14:paraId="62EFDBF8"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pPr>
            <w:r w:rsidRPr="00261018">
              <w:rPr>
                <w:sz w:val="20"/>
              </w:rPr>
              <w:t>• 2026–2028 թթ. տարեկան/եռամսյակային խորհրդատվական և առաքելությունների պլանի նախագիծ՝ Ծրագրի աշխատանքային պլանին համապատասխան։</w:t>
            </w:r>
          </w:p>
        </w:tc>
        <w:tc>
          <w:tcPr>
            <w:tcW w:w="2088" w:type="dxa"/>
            <w:tcBorders>
              <w:top w:val="single" w:sz="4" w:space="0" w:color="auto"/>
            </w:tcBorders>
            <w:shd w:val="clear" w:color="auto" w:fill="auto"/>
            <w:hideMark/>
          </w:tcPr>
          <w:p w14:paraId="26D69841"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pPr>
            <w:r w:rsidRPr="00261018">
              <w:rPr>
                <w:sz w:val="20"/>
              </w:rPr>
              <w:t>Պայմանագրի ստորագրումից հետո 4 շաբաթվա ընթացքում</w:t>
            </w:r>
          </w:p>
        </w:tc>
        <w:tc>
          <w:tcPr>
            <w:tcW w:w="1080" w:type="dxa"/>
            <w:tcBorders>
              <w:top w:val="single" w:sz="4" w:space="0" w:color="auto"/>
            </w:tcBorders>
            <w:shd w:val="clear" w:color="auto" w:fill="auto"/>
            <w:hideMark/>
          </w:tcPr>
          <w:p w14:paraId="119BC351" w14:textId="77777777" w:rsidR="005C1C71" w:rsidRPr="00B42E9F" w:rsidRDefault="005C1C71" w:rsidP="00277809">
            <w:pPr>
              <w:cnfStyle w:val="000000100000" w:firstRow="0" w:lastRow="0" w:firstColumn="0" w:lastColumn="0" w:oddVBand="0" w:evenVBand="0" w:oddHBand="1" w:evenHBand="0" w:firstRowFirstColumn="0" w:firstRowLastColumn="0" w:lastRowFirstColumn="0" w:lastRowLastColumn="0"/>
            </w:pPr>
            <w:r w:rsidRPr="00B42E9F">
              <w:rPr>
                <w:sz w:val="20"/>
              </w:rPr>
              <w:t>5</w:t>
            </w:r>
          </w:p>
        </w:tc>
        <w:tc>
          <w:tcPr>
            <w:tcW w:w="936" w:type="dxa"/>
            <w:tcBorders>
              <w:top w:val="single" w:sz="4" w:space="0" w:color="auto"/>
            </w:tcBorders>
            <w:shd w:val="clear" w:color="auto" w:fill="auto"/>
            <w:hideMark/>
          </w:tcPr>
          <w:p w14:paraId="1FA0BBC4"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pPr>
            <w:r w:rsidRPr="00261018">
              <w:rPr>
                <w:sz w:val="20"/>
              </w:rPr>
              <w:t>5</w:t>
            </w:r>
          </w:p>
        </w:tc>
      </w:tr>
      <w:tr w:rsidR="005C1C71" w:rsidRPr="00261018" w14:paraId="38D2740D" w14:textId="77777777" w:rsidTr="00277809">
        <w:tc>
          <w:tcPr>
            <w:cnfStyle w:val="001000000000" w:firstRow="0" w:lastRow="0" w:firstColumn="1" w:lastColumn="0" w:oddVBand="0" w:evenVBand="0" w:oddHBand="0" w:evenHBand="0" w:firstRowFirstColumn="0" w:firstRowLastColumn="0" w:lastRowFirstColumn="0" w:lastRowLastColumn="0"/>
            <w:tcW w:w="360" w:type="dxa"/>
            <w:shd w:val="clear" w:color="auto" w:fill="auto"/>
            <w:hideMark/>
          </w:tcPr>
          <w:p w14:paraId="3E9C2805" w14:textId="77777777" w:rsidR="005C1C71" w:rsidRPr="00261018" w:rsidRDefault="005C1C71" w:rsidP="00277809">
            <w:pPr>
              <w:rPr>
                <w:b w:val="0"/>
              </w:rPr>
            </w:pPr>
            <w:r w:rsidRPr="00261018">
              <w:rPr>
                <w:b w:val="0"/>
                <w:sz w:val="20"/>
              </w:rPr>
              <w:t>2</w:t>
            </w:r>
          </w:p>
        </w:tc>
        <w:tc>
          <w:tcPr>
            <w:tcW w:w="5256" w:type="dxa"/>
            <w:shd w:val="clear" w:color="auto" w:fill="auto"/>
            <w:hideMark/>
          </w:tcPr>
          <w:p w14:paraId="07B80EC7"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sz w:val="20"/>
              </w:rPr>
            </w:pPr>
            <w:r w:rsidRPr="00261018">
              <w:rPr>
                <w:sz w:val="20"/>
              </w:rPr>
              <w:t>• Ավարտված MTR գործընթացի հետ կապված տեխնիկական հետևողական աջակցություն, ներառյալ MTR արդյունքների և առաջարկությունների վերանայումն ու վերլուծությունը։</w:t>
            </w:r>
          </w:p>
          <w:p w14:paraId="3B1B9C4B"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sz w:val="20"/>
              </w:rPr>
            </w:pPr>
          </w:p>
          <w:p w14:paraId="2D47C556"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sz w:val="20"/>
              </w:rPr>
            </w:pPr>
            <w:r w:rsidRPr="00261018">
              <w:rPr>
                <w:sz w:val="20"/>
              </w:rPr>
              <w:t>Ապացույցների համախմբում, ցուցանիշների պարզաբանում և ստուգում, ինչպես նաև MTR-ից հետո հաշվետվությունների և որոշումների կայացման գործընթացներին աջակցող տեխնիկական մուտքագրումներ։</w:t>
            </w:r>
          </w:p>
          <w:p w14:paraId="356A30C9"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sz w:val="20"/>
              </w:rPr>
            </w:pPr>
          </w:p>
          <w:p w14:paraId="45DE5FDE"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sz w:val="20"/>
              </w:rPr>
            </w:pPr>
            <w:r w:rsidRPr="00261018">
              <w:rPr>
                <w:sz w:val="20"/>
              </w:rPr>
              <w:t>Կառավարման արձագանքի և գործողությունների ծրագրի որակի ապահովման աջակցություն, ներառյալ համաձայնեցված ուղղիչ և հետևողական միջոցառումների ինտեգրումը։</w:t>
            </w:r>
          </w:p>
          <w:p w14:paraId="7F10A11C"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sz w:val="20"/>
              </w:rPr>
            </w:pPr>
          </w:p>
          <w:p w14:paraId="3C01AABB"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pPr>
            <w:r w:rsidRPr="00261018">
              <w:rPr>
                <w:sz w:val="20"/>
              </w:rPr>
              <w:t>MTR առաջարկություններից բխող գործողությունների իրականացման հստակ ճանապարհային քարտեզի և հաջորդականության պլանի պատրաստում, ներառյալ ցուցիչ ժամանակացույցերը և պատասխանատու շահագրգիռ կողմերը։</w:t>
            </w:r>
          </w:p>
        </w:tc>
        <w:tc>
          <w:tcPr>
            <w:tcW w:w="2088" w:type="dxa"/>
            <w:shd w:val="clear" w:color="auto" w:fill="auto"/>
            <w:hideMark/>
          </w:tcPr>
          <w:p w14:paraId="26FF8FA4"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pPr>
            <w:r w:rsidRPr="00261018">
              <w:rPr>
                <w:sz w:val="20"/>
              </w:rPr>
              <w:lastRenderedPageBreak/>
              <w:t>Պայմանագրի ստորագրումից հետո 2 ամսվա ընթացքում</w:t>
            </w:r>
          </w:p>
        </w:tc>
        <w:tc>
          <w:tcPr>
            <w:tcW w:w="1080" w:type="dxa"/>
            <w:shd w:val="clear" w:color="auto" w:fill="auto"/>
            <w:hideMark/>
          </w:tcPr>
          <w:p w14:paraId="353659E6" w14:textId="77777777" w:rsidR="005C1C71" w:rsidRPr="00B42E9F" w:rsidRDefault="005C1C71" w:rsidP="00277809">
            <w:pPr>
              <w:cnfStyle w:val="000000000000" w:firstRow="0" w:lastRow="0" w:firstColumn="0" w:lastColumn="0" w:oddVBand="0" w:evenVBand="0" w:oddHBand="0" w:evenHBand="0" w:firstRowFirstColumn="0" w:firstRowLastColumn="0" w:lastRowFirstColumn="0" w:lastRowLastColumn="0"/>
            </w:pPr>
            <w:r w:rsidRPr="00B42E9F">
              <w:rPr>
                <w:sz w:val="20"/>
              </w:rPr>
              <w:t>25</w:t>
            </w:r>
          </w:p>
        </w:tc>
        <w:tc>
          <w:tcPr>
            <w:tcW w:w="936" w:type="dxa"/>
            <w:shd w:val="clear" w:color="auto" w:fill="auto"/>
            <w:hideMark/>
          </w:tcPr>
          <w:p w14:paraId="0123A5CC"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lang w:val="en-US"/>
              </w:rPr>
            </w:pPr>
            <w:r w:rsidRPr="00261018">
              <w:rPr>
                <w:sz w:val="20"/>
                <w:lang w:val="en-US"/>
              </w:rPr>
              <w:t>20</w:t>
            </w:r>
          </w:p>
          <w:p w14:paraId="4F9C4366"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lang w:val="en-US"/>
              </w:rPr>
            </w:pPr>
          </w:p>
        </w:tc>
      </w:tr>
      <w:tr w:rsidR="005C1C71" w:rsidRPr="00261018" w14:paraId="50352FFD" w14:textId="77777777" w:rsidTr="0027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shd w:val="clear" w:color="auto" w:fill="auto"/>
            <w:hideMark/>
          </w:tcPr>
          <w:p w14:paraId="7CBAED69" w14:textId="77777777" w:rsidR="005C1C71" w:rsidRPr="00261018" w:rsidRDefault="005C1C71" w:rsidP="00277809">
            <w:pPr>
              <w:rPr>
                <w:b w:val="0"/>
              </w:rPr>
            </w:pPr>
            <w:r w:rsidRPr="00261018">
              <w:rPr>
                <w:b w:val="0"/>
                <w:sz w:val="20"/>
              </w:rPr>
              <w:lastRenderedPageBreak/>
              <w:t>3</w:t>
            </w:r>
          </w:p>
        </w:tc>
        <w:tc>
          <w:tcPr>
            <w:tcW w:w="5256" w:type="dxa"/>
            <w:shd w:val="clear" w:color="auto" w:fill="auto"/>
            <w:hideMark/>
          </w:tcPr>
          <w:p w14:paraId="2A32DB6B"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pPr>
            <w:r w:rsidRPr="00261018">
              <w:rPr>
                <w:sz w:val="20"/>
              </w:rPr>
              <w:t>2026 թ. տեխնիկական խորհրդատվական և որակի ապահովման փաթեթ</w:t>
            </w:r>
            <w:r w:rsidRPr="00261018">
              <w:rPr>
                <w:sz w:val="20"/>
              </w:rPr>
              <w:br/>
              <w:t>• Շարունակական տեխնիկական ուղղորդում և QA Ծրագրի բոլոր բաղադրիչների ուղղությամբ։</w:t>
            </w:r>
            <w:r w:rsidRPr="00261018">
              <w:rPr>
                <w:sz w:val="20"/>
              </w:rPr>
              <w:br/>
              <w:t>• Հիմնական ToR-ների և տեխնիկական արդյունքների գրավոր վերանայում/հաստատում։</w:t>
            </w:r>
            <w:r w:rsidRPr="00261018">
              <w:rPr>
                <w:sz w:val="20"/>
              </w:rPr>
              <w:br/>
              <w:t>• Եռամսյակային տեխնիկական խորհրդատվական նշումներ և համակարգման արձանագրություններ։</w:t>
            </w:r>
            <w:r w:rsidRPr="00261018">
              <w:rPr>
                <w:sz w:val="20"/>
              </w:rPr>
              <w:br/>
              <w:t>• Մեկ երկրային առաքելություն Հայաստան (նվազ. 5 աշխատանքային օր)՝ առաքելության հաշվետվությամբ։</w:t>
            </w:r>
            <w:r w:rsidRPr="00261018">
              <w:rPr>
                <w:sz w:val="20"/>
              </w:rPr>
              <w:br/>
              <w:t>• Ներդրումներ 2026 թ. տարեկան առաջընթացի հաշվետվությանը (անհրաժեշտության դեպքում)։</w:t>
            </w:r>
          </w:p>
        </w:tc>
        <w:tc>
          <w:tcPr>
            <w:tcW w:w="2088" w:type="dxa"/>
            <w:shd w:val="clear" w:color="auto" w:fill="auto"/>
            <w:hideMark/>
          </w:tcPr>
          <w:p w14:paraId="7C185E86"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pPr>
            <w:r w:rsidRPr="00261018">
              <w:rPr>
                <w:sz w:val="20"/>
                <w:lang w:val="en-US"/>
              </w:rPr>
              <w:t xml:space="preserve">Հունիս–դեկտեմբեր 2026 </w:t>
            </w:r>
          </w:p>
        </w:tc>
        <w:tc>
          <w:tcPr>
            <w:tcW w:w="1080" w:type="dxa"/>
            <w:shd w:val="clear" w:color="auto" w:fill="auto"/>
            <w:hideMark/>
          </w:tcPr>
          <w:p w14:paraId="4DEF45E5" w14:textId="77777777" w:rsidR="005C1C71" w:rsidRPr="00B42E9F" w:rsidRDefault="005C1C71" w:rsidP="00277809">
            <w:pPr>
              <w:cnfStyle w:val="000000100000" w:firstRow="0" w:lastRow="0" w:firstColumn="0" w:lastColumn="0" w:oddVBand="0" w:evenVBand="0" w:oddHBand="1" w:evenHBand="0" w:firstRowFirstColumn="0" w:firstRowLastColumn="0" w:lastRowFirstColumn="0" w:lastRowLastColumn="0"/>
            </w:pPr>
            <w:r w:rsidRPr="00B42E9F">
              <w:rPr>
                <w:sz w:val="20"/>
              </w:rPr>
              <w:t>20</w:t>
            </w:r>
          </w:p>
        </w:tc>
        <w:tc>
          <w:tcPr>
            <w:tcW w:w="936" w:type="dxa"/>
            <w:shd w:val="clear" w:color="auto" w:fill="auto"/>
            <w:hideMark/>
          </w:tcPr>
          <w:p w14:paraId="6F594EE9"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pPr>
            <w:r w:rsidRPr="00261018">
              <w:rPr>
                <w:sz w:val="20"/>
              </w:rPr>
              <w:t>10</w:t>
            </w:r>
          </w:p>
        </w:tc>
      </w:tr>
      <w:tr w:rsidR="005C1C71" w:rsidRPr="00261018" w14:paraId="4603507F" w14:textId="77777777" w:rsidTr="00277809">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237ED3C1" w14:textId="77777777" w:rsidR="005C1C71" w:rsidRPr="00261018" w:rsidRDefault="005C1C71" w:rsidP="00277809">
            <w:pPr>
              <w:rPr>
                <w:b w:val="0"/>
              </w:rPr>
            </w:pPr>
            <w:r w:rsidRPr="00261018">
              <w:rPr>
                <w:b w:val="0"/>
                <w:sz w:val="20"/>
              </w:rPr>
              <w:t>4</w:t>
            </w:r>
          </w:p>
        </w:tc>
        <w:tc>
          <w:tcPr>
            <w:tcW w:w="5256" w:type="dxa"/>
            <w:shd w:val="clear" w:color="auto" w:fill="auto"/>
          </w:tcPr>
          <w:p w14:paraId="538E5A98"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pPr>
            <w:r w:rsidRPr="00261018">
              <w:rPr>
                <w:sz w:val="20"/>
              </w:rPr>
              <w:t>2027 թ. տեխնիկական խորհրդատվական և որակի ապահովման փաթեթ</w:t>
            </w:r>
            <w:r w:rsidRPr="00261018">
              <w:rPr>
                <w:sz w:val="20"/>
              </w:rPr>
              <w:br/>
              <w:t>• Շարունակական տեխնիկական ուղղորդում և QA. հիմնական արդյունքների վերանայում։</w:t>
            </w:r>
            <w:r w:rsidRPr="00261018">
              <w:rPr>
                <w:sz w:val="20"/>
              </w:rPr>
              <w:br/>
              <w:t>• Եռամսյակային տեխնիկական խորհրդատվական նշումներ. ներդրումներ տարեկան պլանավորման/հաշվետվության մեջ։</w:t>
            </w:r>
            <w:r w:rsidRPr="00261018">
              <w:rPr>
                <w:sz w:val="20"/>
              </w:rPr>
              <w:br/>
              <w:t>• Մեկ երկրային առաքելություն Հայաստան (նվազ. 5 աշխատանքային օր)՝ առաքելության հաշվետվությամբ։</w:t>
            </w:r>
          </w:p>
        </w:tc>
        <w:tc>
          <w:tcPr>
            <w:tcW w:w="2088" w:type="dxa"/>
            <w:shd w:val="clear" w:color="auto" w:fill="auto"/>
          </w:tcPr>
          <w:p w14:paraId="17365E00"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pPr>
            <w:r w:rsidRPr="00261018">
              <w:rPr>
                <w:sz w:val="20"/>
              </w:rPr>
              <w:t>Հունվար–դեկտեմբեր 2027</w:t>
            </w:r>
          </w:p>
        </w:tc>
        <w:tc>
          <w:tcPr>
            <w:tcW w:w="1080" w:type="dxa"/>
            <w:shd w:val="clear" w:color="auto" w:fill="auto"/>
          </w:tcPr>
          <w:p w14:paraId="1BC0E53E"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pPr>
            <w:r w:rsidRPr="00261018">
              <w:rPr>
                <w:sz w:val="20"/>
                <w:lang w:val="en-US"/>
              </w:rPr>
              <w:t>50</w:t>
            </w:r>
            <w:r w:rsidRPr="00261018">
              <w:rPr>
                <w:sz w:val="20"/>
              </w:rPr>
              <w:t xml:space="preserve"> </w:t>
            </w:r>
          </w:p>
        </w:tc>
        <w:tc>
          <w:tcPr>
            <w:tcW w:w="936" w:type="dxa"/>
            <w:shd w:val="clear" w:color="auto" w:fill="auto"/>
          </w:tcPr>
          <w:p w14:paraId="52273AB0"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pPr>
            <w:r w:rsidRPr="00261018">
              <w:rPr>
                <w:sz w:val="20"/>
                <w:lang w:val="en-US"/>
              </w:rPr>
              <w:t>3</w:t>
            </w:r>
            <w:r w:rsidRPr="00261018">
              <w:rPr>
                <w:sz w:val="20"/>
              </w:rPr>
              <w:t>5</w:t>
            </w:r>
          </w:p>
        </w:tc>
      </w:tr>
      <w:tr w:rsidR="005C1C71" w:rsidRPr="00261018" w14:paraId="6C356868" w14:textId="77777777" w:rsidTr="0027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0833FAD2" w14:textId="77777777" w:rsidR="005C1C71" w:rsidRPr="00261018" w:rsidRDefault="005C1C71" w:rsidP="00277809">
            <w:pPr>
              <w:rPr>
                <w:b w:val="0"/>
              </w:rPr>
            </w:pPr>
            <w:r w:rsidRPr="00261018">
              <w:rPr>
                <w:b w:val="0"/>
                <w:sz w:val="20"/>
              </w:rPr>
              <w:t>5</w:t>
            </w:r>
          </w:p>
        </w:tc>
        <w:tc>
          <w:tcPr>
            <w:tcW w:w="5256" w:type="dxa"/>
            <w:shd w:val="clear" w:color="auto" w:fill="auto"/>
          </w:tcPr>
          <w:p w14:paraId="4D2A063B"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pPr>
            <w:r w:rsidRPr="00261018">
              <w:rPr>
                <w:sz w:val="20"/>
              </w:rPr>
              <w:t>Ընդլայնման, կրկնօրինակման և կայունության ռազմավարություն</w:t>
            </w:r>
            <w:r w:rsidRPr="00261018">
              <w:rPr>
                <w:sz w:val="20"/>
              </w:rPr>
              <w:br/>
              <w:t>• Մշակել և վերջնականացնել հաջողված միջամտությունների ընդլայնման/կրկնօրինակման/կայունության ռազմավարությունը (ներառյալ՝ AEPS-ը և հիմնական պլանավորման/կառավարման գործիքները)։</w:t>
            </w:r>
            <w:r w:rsidRPr="00261018">
              <w:rPr>
                <w:sz w:val="20"/>
              </w:rPr>
              <w:br/>
              <w:t>• Ներկայացնել Ծրագրի ղեկավար կոմիտեին և ներառել հետադարձ կապը։</w:t>
            </w:r>
          </w:p>
        </w:tc>
        <w:tc>
          <w:tcPr>
            <w:tcW w:w="2088" w:type="dxa"/>
            <w:shd w:val="clear" w:color="auto" w:fill="auto"/>
          </w:tcPr>
          <w:p w14:paraId="603DEB42"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pPr>
            <w:r w:rsidRPr="00261018">
              <w:rPr>
                <w:sz w:val="20"/>
              </w:rPr>
              <w:t>Հունվար–հունիս 2028</w:t>
            </w:r>
          </w:p>
        </w:tc>
        <w:tc>
          <w:tcPr>
            <w:tcW w:w="1080" w:type="dxa"/>
            <w:shd w:val="clear" w:color="auto" w:fill="auto"/>
          </w:tcPr>
          <w:p w14:paraId="42773D69"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pPr>
            <w:r w:rsidRPr="00261018">
              <w:rPr>
                <w:sz w:val="20"/>
              </w:rPr>
              <w:t>20</w:t>
            </w:r>
          </w:p>
        </w:tc>
        <w:tc>
          <w:tcPr>
            <w:tcW w:w="936" w:type="dxa"/>
            <w:shd w:val="clear" w:color="auto" w:fill="auto"/>
          </w:tcPr>
          <w:p w14:paraId="737BB757"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pPr>
            <w:r w:rsidRPr="00261018">
              <w:rPr>
                <w:sz w:val="20"/>
              </w:rPr>
              <w:t>15</w:t>
            </w:r>
          </w:p>
        </w:tc>
      </w:tr>
      <w:tr w:rsidR="005C1C71" w:rsidRPr="00261018" w14:paraId="7501346F" w14:textId="77777777" w:rsidTr="00277809">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57F35BE2" w14:textId="77777777" w:rsidR="005C1C71" w:rsidRPr="00261018" w:rsidRDefault="005C1C71" w:rsidP="00277809">
            <w:pPr>
              <w:rPr>
                <w:b w:val="0"/>
              </w:rPr>
            </w:pPr>
            <w:r w:rsidRPr="00261018">
              <w:rPr>
                <w:b w:val="0"/>
                <w:sz w:val="20"/>
              </w:rPr>
              <w:t>6</w:t>
            </w:r>
          </w:p>
        </w:tc>
        <w:tc>
          <w:tcPr>
            <w:tcW w:w="5256" w:type="dxa"/>
            <w:shd w:val="clear" w:color="auto" w:fill="auto"/>
          </w:tcPr>
          <w:p w14:paraId="2E18E1EB"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sz w:val="20"/>
              </w:rPr>
            </w:pPr>
            <w:r w:rsidRPr="00261018">
              <w:rPr>
                <w:sz w:val="20"/>
              </w:rPr>
              <w:t>Վերջնական գնահատման (TE) և Ծրագրի փակման աջակցության փաթեթ</w:t>
            </w:r>
            <w:r w:rsidRPr="00261018">
              <w:rPr>
                <w:sz w:val="20"/>
              </w:rPr>
              <w:br/>
              <w:t>• Տեխնիկական աջակցություն TE-ի նախապատրաստմանը (ապացույցների փաթեթ, խորհրդակցություններ, գնահատողի հարցումներին պատասխաններ)։</w:t>
            </w:r>
            <w:r w:rsidRPr="00261018">
              <w:rPr>
                <w:sz w:val="20"/>
              </w:rPr>
              <w:br/>
              <w:t>• TE-ի նախագծային հաշվետվության վերանայում/QA. աջակցություն Կառավարման արձագանքին և վերջնական տեխնիկական ճեպազրույցին։</w:t>
            </w:r>
            <w:r w:rsidRPr="00261018">
              <w:rPr>
                <w:sz w:val="20"/>
              </w:rPr>
              <w:br/>
              <w:t>• Մեկ երկրային առաքելություն Հայաստան (նվազ. 5 աշխատանքային օր)՝ փակմանը/գիտելիքի փոխանակմանը աջակցելու համար՝ համաձայնեցված կարգով։</w:t>
            </w:r>
          </w:p>
          <w:p w14:paraId="0B9FAEAB"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pPr>
          </w:p>
        </w:tc>
        <w:tc>
          <w:tcPr>
            <w:tcW w:w="2088" w:type="dxa"/>
            <w:shd w:val="clear" w:color="auto" w:fill="auto"/>
          </w:tcPr>
          <w:p w14:paraId="07FC95BD"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pPr>
            <w:r w:rsidRPr="00261018">
              <w:rPr>
                <w:sz w:val="20"/>
              </w:rPr>
              <w:t>Հուլիս–հոկտեմբեր 2028 (TE-ի և փակման պահանջներին համապատասխան)</w:t>
            </w:r>
          </w:p>
        </w:tc>
        <w:tc>
          <w:tcPr>
            <w:tcW w:w="1080" w:type="dxa"/>
            <w:shd w:val="clear" w:color="auto" w:fill="auto"/>
          </w:tcPr>
          <w:p w14:paraId="00092F4F"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pPr>
            <w:r w:rsidRPr="00261018">
              <w:rPr>
                <w:sz w:val="20"/>
                <w:lang w:val="en-US"/>
              </w:rPr>
              <w:t>30</w:t>
            </w:r>
            <w:r w:rsidRPr="00261018">
              <w:rPr>
                <w:sz w:val="20"/>
              </w:rPr>
              <w:t xml:space="preserve"> </w:t>
            </w:r>
          </w:p>
        </w:tc>
        <w:tc>
          <w:tcPr>
            <w:tcW w:w="936" w:type="dxa"/>
            <w:shd w:val="clear" w:color="auto" w:fill="auto"/>
          </w:tcPr>
          <w:p w14:paraId="7B688D49"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pPr>
            <w:r w:rsidRPr="00261018">
              <w:rPr>
                <w:sz w:val="20"/>
              </w:rPr>
              <w:t>15</w:t>
            </w:r>
          </w:p>
        </w:tc>
      </w:tr>
      <w:tr w:rsidR="005C1C71" w:rsidRPr="00261018" w14:paraId="31865CF7" w14:textId="77777777" w:rsidTr="0027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gridSpan w:val="5"/>
            <w:shd w:val="clear" w:color="auto" w:fill="auto"/>
          </w:tcPr>
          <w:p w14:paraId="4A458B2C" w14:textId="77777777" w:rsidR="005C1C71" w:rsidRPr="00261018" w:rsidRDefault="005C1C71" w:rsidP="00277809">
            <w:pPr>
              <w:rPr>
                <w:b w:val="0"/>
              </w:rPr>
            </w:pPr>
            <w:r w:rsidRPr="00261018">
              <w:rPr>
                <w:b w:val="0"/>
              </w:rPr>
              <w:t xml:space="preserve">5. ԱՌԱՔԵԼՈՒԹՅՈՒՆ ԵՎ ՎՃԱՐՄԱՆ ԳՐԱՖԻԿ </w:t>
            </w:r>
          </w:p>
          <w:p w14:paraId="68F8F2C5" w14:textId="77777777" w:rsidR="005C1C71" w:rsidRPr="00261018" w:rsidRDefault="005C1C71" w:rsidP="00277809">
            <w:pPr>
              <w:rPr>
                <w:b w:val="0"/>
              </w:rPr>
            </w:pPr>
          </w:p>
        </w:tc>
      </w:tr>
      <w:tr w:rsidR="005C1C71" w:rsidRPr="00261018" w14:paraId="76681EA1" w14:textId="77777777" w:rsidTr="00277809">
        <w:tc>
          <w:tcPr>
            <w:cnfStyle w:val="001000000000" w:firstRow="0" w:lastRow="0" w:firstColumn="1" w:lastColumn="0" w:oddVBand="0" w:evenVBand="0" w:oddHBand="0" w:evenHBand="0" w:firstRowFirstColumn="0" w:firstRowLastColumn="0" w:lastRowFirstColumn="0" w:lastRowLastColumn="0"/>
            <w:tcW w:w="9720" w:type="dxa"/>
            <w:gridSpan w:val="5"/>
            <w:shd w:val="clear" w:color="auto" w:fill="auto"/>
          </w:tcPr>
          <w:p w14:paraId="0AA92AB4" w14:textId="77777777" w:rsidR="005C1C71" w:rsidRPr="00B42E9F" w:rsidRDefault="005C1C71" w:rsidP="00277809">
            <w:pPr>
              <w:rPr>
                <w:b w:val="0"/>
                <w:sz w:val="22"/>
                <w:szCs w:val="22"/>
              </w:rPr>
            </w:pPr>
            <w:r w:rsidRPr="00B42E9F">
              <w:rPr>
                <w:b w:val="0"/>
                <w:sz w:val="22"/>
                <w:szCs w:val="22"/>
              </w:rPr>
              <w:t>Առաջադրանքի ժամանակահատվածում (2026–2028) ամեն տարի անհրաժեշտ կլինի միջազգային գործուղումներ՝ մինչև 5 աշխատանքային օր տևողությամբ դեպի Երևան/Հայաստան դաշտային առաքելության համար։ Յուրաքանչյուր առաքելության ժամանակացույցը և մանրամասն գրաֆիկը նախապես կհամաձայնեցվեն Կապալառուի և Խորհրդատուի միջև՝ հիմնվելով նախագծի իրականացման կարիքների և տարեկան աշխատանքային պլանավորման առաջնահերթությունների վրա։</w:t>
            </w:r>
          </w:p>
          <w:p w14:paraId="16D7ECFF" w14:textId="77777777" w:rsidR="005C1C71" w:rsidRPr="00B42E9F" w:rsidRDefault="005C1C71" w:rsidP="00277809">
            <w:pPr>
              <w:rPr>
                <w:b w:val="0"/>
                <w:sz w:val="22"/>
                <w:szCs w:val="22"/>
              </w:rPr>
            </w:pPr>
            <w:r w:rsidRPr="00B42E9F">
              <w:rPr>
                <w:b w:val="0"/>
                <w:sz w:val="22"/>
                <w:szCs w:val="22"/>
              </w:rPr>
              <w:t xml:space="preserve">Առաքելության և միջազգային գործուղումների հետ կապված ծախսերը կներառվեն միանվագ ֆինանսական առաջարկի մեջ և կվճարվեն EPIU-ի կողմից՝ հետևյալի համար՝ i) ամենաուղիղ էկոնոմ դասի երկկողմանի ավիատոմսի տոմս, ii) երկրի ներսում իրականացվող առաքելությունների ընթացքում ՄԱԿ-ի DSA-ի սահմանված դրույքաչափերի համաձայն՝ հյուրանոցային կացության համար համապատասխան վայրով և էկոնոմ դասի սակագնով </w:t>
            </w:r>
            <w:r w:rsidRPr="00B42E9F">
              <w:rPr>
                <w:b w:val="0"/>
                <w:sz w:val="22"/>
                <w:szCs w:val="22"/>
              </w:rPr>
              <w:lastRenderedPageBreak/>
              <w:t>(տարբերակները կառաջարկվեն և կհամաձայնեցվեն), սննդի և տեղական ճանապարհորդության համար, iii) առաքելության հետ կապված այլ ծախսեր, ներառյալ տերմինալի տեղափոխությունները և վիզան, որոնք կփոխհատուցվեն Խորհրդատուի կողմից յուրաքանչյուր առաքելության ավարտից հետո ներկայացված ծախսերի վերաբերյալ հաշվետվության հիման վրա։</w:t>
            </w:r>
          </w:p>
          <w:p w14:paraId="74ABAF8D" w14:textId="77777777" w:rsidR="005C1C71" w:rsidRPr="00B42E9F" w:rsidRDefault="005C1C71" w:rsidP="00277809">
            <w:pPr>
              <w:rPr>
                <w:b w:val="0"/>
                <w:sz w:val="22"/>
                <w:szCs w:val="22"/>
              </w:rPr>
            </w:pPr>
            <w:r w:rsidRPr="00B42E9F">
              <w:rPr>
                <w:b w:val="0"/>
                <w:sz w:val="22"/>
                <w:szCs w:val="22"/>
              </w:rPr>
              <w:t>Առաքելությունները կարող են ներառել տեղական գործուղումներ դեպի մարզեր/համայնքներ. EPIU-ն կկազմակերպի բոլոր նման տեղական տրանսպորտային կազմակերպությունները։ Վիզայի պահանջների համար այցելեք E-Visa (mfa.am) կայքը նախատեսված ուղևորությունից շատ առաջ։ Վճարումը կկատարվի երեք մասով՝ արդյունքների ներկայացումից և ընդունումից և EPIU-ի կողմից բավարար կատարման հաստատումից հետո.</w:t>
            </w:r>
          </w:p>
          <w:p w14:paraId="797AA7E9" w14:textId="77777777" w:rsidR="005C1C71" w:rsidRPr="00B42E9F" w:rsidRDefault="005C1C71" w:rsidP="00277809">
            <w:pPr>
              <w:rPr>
                <w:b w:val="0"/>
                <w:sz w:val="22"/>
                <w:szCs w:val="22"/>
              </w:rPr>
            </w:pPr>
            <w:r w:rsidRPr="00B42E9F">
              <w:rPr>
                <w:b w:val="0"/>
                <w:sz w:val="22"/>
                <w:szCs w:val="22"/>
              </w:rPr>
              <w:t>• 1, 2 և 3 արդյունքների ավարտից հետո՝ մասնագիտական ​​վարձատրության ընդհանուր գումարի 35%-ը</w:t>
            </w:r>
          </w:p>
          <w:p w14:paraId="718880DD" w14:textId="77777777" w:rsidR="005C1C71" w:rsidRPr="00B42E9F" w:rsidRDefault="005C1C71" w:rsidP="00277809">
            <w:pPr>
              <w:rPr>
                <w:b w:val="0"/>
                <w:sz w:val="22"/>
                <w:szCs w:val="22"/>
              </w:rPr>
            </w:pPr>
            <w:r w:rsidRPr="00B42E9F">
              <w:rPr>
                <w:b w:val="0"/>
                <w:sz w:val="22"/>
                <w:szCs w:val="22"/>
              </w:rPr>
              <w:t>• 4-րդ արդյունքների ավարտից հետո՝ մասնագիտական ​​վարձատրության ընդհանուր գումարի 35%-ը</w:t>
            </w:r>
          </w:p>
          <w:p w14:paraId="1CC49BCB" w14:textId="77777777" w:rsidR="005C1C71" w:rsidRPr="00B42E9F" w:rsidRDefault="005C1C71" w:rsidP="00277809">
            <w:pPr>
              <w:rPr>
                <w:b w:val="0"/>
                <w:sz w:val="22"/>
                <w:szCs w:val="22"/>
              </w:rPr>
            </w:pPr>
            <w:r w:rsidRPr="00B42E9F">
              <w:rPr>
                <w:b w:val="0"/>
                <w:sz w:val="22"/>
                <w:szCs w:val="22"/>
              </w:rPr>
              <w:t>• 5-րդ և 6-րդ արդյունքների ավարտից հետո՝ մասնագիտական ​​վարձատրության ընդհանուր գումարի 30%-ը</w:t>
            </w:r>
          </w:p>
          <w:p w14:paraId="3D9977D0" w14:textId="77777777" w:rsidR="005C1C71" w:rsidRPr="00261018" w:rsidRDefault="005C1C71" w:rsidP="00277809">
            <w:pPr>
              <w:rPr>
                <w:b w:val="0"/>
                <w:sz w:val="20"/>
              </w:rPr>
            </w:pPr>
          </w:p>
          <w:p w14:paraId="439641D3" w14:textId="77777777" w:rsidR="005C1C71" w:rsidRPr="00261018" w:rsidRDefault="005C1C71" w:rsidP="00277809">
            <w:pPr>
              <w:rPr>
                <w:b w:val="0"/>
                <w:sz w:val="20"/>
              </w:rPr>
            </w:pPr>
          </w:p>
        </w:tc>
      </w:tr>
      <w:tr w:rsidR="005C1C71" w:rsidRPr="00261018" w14:paraId="28384FCD" w14:textId="77777777" w:rsidTr="0027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gridSpan w:val="5"/>
            <w:shd w:val="clear" w:color="auto" w:fill="auto"/>
          </w:tcPr>
          <w:p w14:paraId="136C04AC" w14:textId="77777777" w:rsidR="005C1C71" w:rsidRPr="00261018" w:rsidRDefault="005C1C71" w:rsidP="00277809">
            <w:pPr>
              <w:rPr>
                <w:b w:val="0"/>
              </w:rPr>
            </w:pPr>
            <w:r w:rsidRPr="00261018">
              <w:rPr>
                <w:b w:val="0"/>
              </w:rPr>
              <w:lastRenderedPageBreak/>
              <w:t>6. ԿԱՌՈՒՑՎԱԾՔԱՅԻՆ ԿԱՌԱՎԱՐՈՒՄՆԵՐ/ՀԱՇՎԵՏՎՈՂԱԿԱՆ ԳԾԵՐ</w:t>
            </w:r>
          </w:p>
          <w:p w14:paraId="31FBE977" w14:textId="77777777" w:rsidR="005C1C71" w:rsidRPr="00261018" w:rsidRDefault="005C1C71" w:rsidP="00277809">
            <w:pPr>
              <w:rPr>
                <w:b w:val="0"/>
              </w:rPr>
            </w:pPr>
          </w:p>
        </w:tc>
      </w:tr>
      <w:tr w:rsidR="005C1C71" w:rsidRPr="00261018" w14:paraId="05E0453E" w14:textId="77777777" w:rsidTr="00277809">
        <w:tc>
          <w:tcPr>
            <w:cnfStyle w:val="001000000000" w:firstRow="0" w:lastRow="0" w:firstColumn="1" w:lastColumn="0" w:oddVBand="0" w:evenVBand="0" w:oddHBand="0" w:evenHBand="0" w:firstRowFirstColumn="0" w:firstRowLastColumn="0" w:lastRowFirstColumn="0" w:lastRowLastColumn="0"/>
            <w:tcW w:w="9720" w:type="dxa"/>
            <w:gridSpan w:val="5"/>
            <w:shd w:val="clear" w:color="auto" w:fill="auto"/>
          </w:tcPr>
          <w:p w14:paraId="135A2F96" w14:textId="77777777" w:rsidR="005C1C71" w:rsidRPr="00B42E9F" w:rsidRDefault="005C1C71" w:rsidP="00277809">
            <w:pPr>
              <w:rPr>
                <w:b w:val="0"/>
                <w:sz w:val="22"/>
                <w:szCs w:val="22"/>
              </w:rPr>
            </w:pPr>
            <w:r w:rsidRPr="00261018">
              <w:rPr>
                <w:b w:val="0"/>
                <w:sz w:val="20"/>
              </w:rPr>
              <w:t xml:space="preserve"> </w:t>
            </w:r>
            <w:r w:rsidRPr="00B42E9F">
              <w:rPr>
                <w:b w:val="0"/>
                <w:sz w:val="22"/>
                <w:szCs w:val="22"/>
              </w:rPr>
              <w:t>Խորհրդատուն հաշվետու կլինի ԾԻԳ-ի նախագծի ղեկավարին: Առաջադրանքը կատարելիս միջազգային խորհրդատուին կաջակցի ազգային խորհրդատուների թիմը: Բոլոր արդյունքները պետք է ներկայացվեն անգլերեն լեզվով, էլեկտրոնային ձևաչափով և ստորագրված, և ենթակա կլինեն ԾԻԳ-ի կողմից վերանայման և հաստատման:</w:t>
            </w:r>
          </w:p>
        </w:tc>
      </w:tr>
    </w:tbl>
    <w:p w14:paraId="07CD1466" w14:textId="77777777" w:rsidR="005C1C71" w:rsidRPr="00261018" w:rsidRDefault="005C1C71" w:rsidP="005C1C71">
      <w:pPr>
        <w:pStyle w:val="Normal1"/>
        <w:numPr>
          <w:ilvl w:val="0"/>
          <w:numId w:val="18"/>
        </w:numPr>
        <w:spacing w:before="360" w:beforeAutospacing="0" w:after="120"/>
        <w:ind w:right="-187"/>
        <w:rPr>
          <w:rFonts w:ascii="Times New Roman" w:hAnsi="Times New Roman"/>
          <w:bCs/>
          <w:sz w:val="24"/>
          <w:szCs w:val="24"/>
        </w:rPr>
      </w:pPr>
      <w:r w:rsidRPr="00261018">
        <w:rPr>
          <w:rFonts w:ascii="Times New Roman" w:hAnsi="Times New Roman"/>
          <w:bCs/>
          <w:sz w:val="24"/>
          <w:szCs w:val="24"/>
        </w:rPr>
        <w:t>ՓՈՐՁԱՌՈՒԹՅՈՒՆ ԵՎ ՈՐԱԿԱՎՈՐՈՒՄՆԵՐ</w:t>
      </w:r>
    </w:p>
    <w:tbl>
      <w:tblPr>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3"/>
      </w:tblGrid>
      <w:tr w:rsidR="005C1C71" w:rsidRPr="00261018" w14:paraId="7FA72FF4" w14:textId="77777777" w:rsidTr="00277809">
        <w:trPr>
          <w:trHeight w:val="341"/>
        </w:trPr>
        <w:tc>
          <w:tcPr>
            <w:tcW w:w="10103" w:type="dxa"/>
          </w:tcPr>
          <w:p w14:paraId="61943B5C" w14:textId="77777777" w:rsidR="005C1C71" w:rsidRPr="00261018" w:rsidRDefault="005C1C71" w:rsidP="00277809">
            <w:pPr>
              <w:spacing w:before="120" w:after="120"/>
              <w:rPr>
                <w:u w:val="single"/>
              </w:rPr>
            </w:pPr>
            <w:r w:rsidRPr="00261018">
              <w:rPr>
                <w:u w:val="single"/>
              </w:rPr>
              <w:t>I. Ակադեմիական որակավորումներ</w:t>
            </w:r>
          </w:p>
          <w:p w14:paraId="0EB61C01" w14:textId="77777777" w:rsidR="005C1C71" w:rsidRPr="00261018" w:rsidRDefault="005C1C71" w:rsidP="00277809">
            <w:pPr>
              <w:pStyle w:val="aff4"/>
            </w:pPr>
            <w:r w:rsidRPr="00261018">
              <w:t>Մագիստրոսի կամ ավելի բարձր աստիճան համապատասխան ոլորտում, ինչպիսիք են շրջակա միջավայրի գիտությունները, շրջակա միջավայրի կառավարումը, տնտեսագիտությունը, հանրային կառավարումը, գյուղատնտեսությունը, զարգացման ուսումնասիրությունները կամ այլ սերտորեն առնչվող մասնագիտություններ։</w:t>
            </w:r>
          </w:p>
          <w:p w14:paraId="7B5D1532" w14:textId="77777777" w:rsidR="005C1C71" w:rsidRPr="00261018" w:rsidRDefault="005C1C71" w:rsidP="00277809">
            <w:pPr>
              <w:pStyle w:val="aff4"/>
              <w:rPr>
                <w:u w:val="single"/>
              </w:rPr>
            </w:pPr>
            <w:r w:rsidRPr="00261018">
              <w:rPr>
                <w:u w:val="single"/>
              </w:rPr>
              <w:t>II.Մասնագիտական փորձ</w:t>
            </w:r>
          </w:p>
          <w:p w14:paraId="3D032044" w14:textId="77777777" w:rsidR="005C1C71" w:rsidRPr="00261018" w:rsidRDefault="005C1C71" w:rsidP="005C1C71">
            <w:pPr>
              <w:pStyle w:val="aff4"/>
              <w:numPr>
                <w:ilvl w:val="0"/>
                <w:numId w:val="10"/>
              </w:numPr>
              <w:spacing w:before="100" w:beforeAutospacing="1" w:after="100" w:afterAutospacing="1"/>
            </w:pPr>
            <w:r w:rsidRPr="00261018">
              <w:t>Բնապահպանական անվտանգության, բնական ռեսուրսների կառավարման, միջազգային զարգացման կամ այլ առնչվող ոլորտներում խոշորամասշտաբ ծրագրերի կառավարման կամ դրանց մասնակցության ապացուցված փորձ։</w:t>
            </w:r>
          </w:p>
          <w:p w14:paraId="3BF9A958" w14:textId="77777777" w:rsidR="005C1C71" w:rsidRPr="00261018" w:rsidRDefault="005C1C71" w:rsidP="005C1C71">
            <w:pPr>
              <w:pStyle w:val="aff4"/>
              <w:numPr>
                <w:ilvl w:val="0"/>
                <w:numId w:val="10"/>
              </w:numPr>
              <w:spacing w:before="100" w:beforeAutospacing="1" w:after="100" w:afterAutospacing="1"/>
            </w:pPr>
            <w:r w:rsidRPr="00261018">
              <w:t>Բնապահպանական ծրագրերում և նախագծերում առնվազն հինգ (5) տարվա մասնագիտական փորձ։</w:t>
            </w:r>
          </w:p>
          <w:p w14:paraId="73E26A3C" w14:textId="77777777" w:rsidR="005C1C71" w:rsidRPr="00261018" w:rsidRDefault="005C1C71" w:rsidP="005C1C71">
            <w:pPr>
              <w:numPr>
                <w:ilvl w:val="0"/>
                <w:numId w:val="10"/>
              </w:numPr>
              <w:spacing w:before="120" w:after="120"/>
              <w:rPr>
                <w:u w:val="single"/>
              </w:rPr>
            </w:pPr>
            <w:r w:rsidRPr="00261018">
              <w:t>Կառավարական հաստատությունների, տեղական ինքնակառավարման մարմինների, դոնորների, ՀԿ-ների և մասնավոր հատվածի հետ արդյունավետ համագործակցություն հաստատելու և պահպանելու ապացուցված փորձ։</w:t>
            </w:r>
          </w:p>
          <w:p w14:paraId="501274C2" w14:textId="77777777" w:rsidR="005C1C71" w:rsidRPr="00261018" w:rsidRDefault="005C1C71" w:rsidP="00277809">
            <w:pPr>
              <w:spacing w:before="120" w:after="120"/>
              <w:rPr>
                <w:u w:val="single"/>
              </w:rPr>
            </w:pPr>
            <w:r w:rsidRPr="00261018">
              <w:rPr>
                <w:u w:val="single"/>
              </w:rPr>
              <w:t>III. Լեզվական և տեխնիկական հմտություններ</w:t>
            </w:r>
          </w:p>
          <w:p w14:paraId="6F162525" w14:textId="77777777" w:rsidR="005C1C71" w:rsidRPr="00261018" w:rsidRDefault="005C1C71" w:rsidP="005C1C71">
            <w:pPr>
              <w:pStyle w:val="a7"/>
              <w:widowControl w:val="0"/>
              <w:numPr>
                <w:ilvl w:val="0"/>
                <w:numId w:val="11"/>
              </w:numPr>
              <w:tabs>
                <w:tab w:val="left" w:pos="248"/>
              </w:tabs>
              <w:autoSpaceDE w:val="0"/>
              <w:autoSpaceDN w:val="0"/>
              <w:ind w:right="101"/>
            </w:pPr>
            <w:r w:rsidRPr="00261018">
              <w:t>Անգլերենի վարժ տիրապետումը պարտադիր է, ռուսերենի իմացությունը առավելություն է։</w:t>
            </w:r>
          </w:p>
          <w:p w14:paraId="3F9BE125" w14:textId="77777777" w:rsidR="005C1C71" w:rsidRPr="00261018" w:rsidRDefault="005C1C71" w:rsidP="005C1C71">
            <w:pPr>
              <w:pStyle w:val="a7"/>
              <w:numPr>
                <w:ilvl w:val="0"/>
                <w:numId w:val="11"/>
              </w:numPr>
              <w:spacing w:before="120"/>
            </w:pPr>
            <w:r w:rsidRPr="00261018">
              <w:t xml:space="preserve">Համակարգչային հավելվածների, ներառյալ ստանդարտ գրասենյակային ծրագրակազմի օգտագործման հմտություն։ </w:t>
            </w:r>
          </w:p>
          <w:p w14:paraId="5A192713" w14:textId="77777777" w:rsidR="005C1C71" w:rsidRPr="00261018" w:rsidRDefault="005C1C71" w:rsidP="00277809">
            <w:pPr>
              <w:spacing w:before="120"/>
              <w:rPr>
                <w:u w:val="single"/>
              </w:rPr>
            </w:pPr>
            <w:r w:rsidRPr="00261018">
              <w:rPr>
                <w:u w:val="single"/>
              </w:rPr>
              <w:t>IV. Հատուկ հմտություններ</w:t>
            </w:r>
          </w:p>
          <w:p w14:paraId="11FCED8E" w14:textId="77777777" w:rsidR="005C1C71" w:rsidRPr="00261018" w:rsidRDefault="005C1C71" w:rsidP="005C1C71">
            <w:pPr>
              <w:pStyle w:val="a7"/>
              <w:widowControl w:val="0"/>
              <w:numPr>
                <w:ilvl w:val="0"/>
                <w:numId w:val="11"/>
              </w:numPr>
              <w:tabs>
                <w:tab w:val="left" w:pos="248"/>
              </w:tabs>
              <w:autoSpaceDE w:val="0"/>
              <w:autoSpaceDN w:val="0"/>
              <w:ind w:right="101"/>
            </w:pPr>
            <w:r w:rsidRPr="00261018">
              <w:t>Անգլերենի վարժ տիրապետումը պարտադիր է։ Ռուսերենի իմացությունը համարվում է ուժեղ առավելություն։</w:t>
            </w:r>
          </w:p>
          <w:p w14:paraId="2F321869" w14:textId="77777777" w:rsidR="005C1C71" w:rsidRPr="00261018" w:rsidRDefault="005C1C71" w:rsidP="005C1C71">
            <w:pPr>
              <w:pStyle w:val="a7"/>
              <w:widowControl w:val="0"/>
              <w:numPr>
                <w:ilvl w:val="0"/>
                <w:numId w:val="11"/>
              </w:numPr>
              <w:tabs>
                <w:tab w:val="left" w:pos="248"/>
              </w:tabs>
              <w:autoSpaceDE w:val="0"/>
              <w:autoSpaceDN w:val="0"/>
              <w:ind w:right="101"/>
            </w:pPr>
            <w:r w:rsidRPr="00261018">
              <w:t>Հայաստանում և/կամ Հարավային Կովկասի ավելի լայն տարածաշրջանում նախկին մասնագիտական փորձը կհամարվի առավելություն, հատկապես հողերի կառավարման, կենսաբազմազանության պահպանության կամ զարգացման ծրագրերին առնչվող փորձը։</w:t>
            </w:r>
          </w:p>
          <w:p w14:paraId="2FDF33FC" w14:textId="77777777" w:rsidR="005C1C71" w:rsidRPr="00261018" w:rsidRDefault="005C1C71" w:rsidP="005C1C71">
            <w:pPr>
              <w:pStyle w:val="a7"/>
              <w:widowControl w:val="0"/>
              <w:numPr>
                <w:ilvl w:val="0"/>
                <w:numId w:val="11"/>
              </w:numPr>
              <w:tabs>
                <w:tab w:val="left" w:pos="248"/>
              </w:tabs>
              <w:autoSpaceDE w:val="0"/>
              <w:autoSpaceDN w:val="0"/>
              <w:ind w:right="101"/>
            </w:pPr>
            <w:r w:rsidRPr="009F26AD">
              <w:rPr>
                <w:rStyle w:val="aff5"/>
                <w:rFonts w:eastAsiaTheme="majorEastAsia"/>
                <w:b w:val="0"/>
              </w:rPr>
              <w:lastRenderedPageBreak/>
              <w:t>Անգլերենի վարժ տիրապետումը պարտադիր է։ Ռուսերենի իմացությունը համարվում է ուժեղ առավելություն։</w:t>
            </w:r>
            <w:r w:rsidRPr="009F26AD">
              <w:rPr>
                <w:b/>
              </w:rPr>
              <w:br/>
            </w:r>
            <w:r w:rsidRPr="009F26AD">
              <w:rPr>
                <w:rStyle w:val="aff5"/>
                <w:rFonts w:eastAsiaTheme="majorEastAsia"/>
                <w:b w:val="0"/>
              </w:rPr>
              <w:t>Հայաստանում և/կամ Հարավային Կովկասի ավելի լայն տարածաշրջանում նախկին մասնագիտական փորձը կհամարվի առավելություն</w:t>
            </w:r>
            <w:r w:rsidRPr="00261018">
              <w:t>, հատկապես հողերի կառավարման, կենսաբազմազանության պահպանության կամ զարգացման ծրագրերին առնչվող փորձը։Համակարգման և շահագրգիռ կողմերի ներգրավման ապացուցված փորձ։</w:t>
            </w:r>
          </w:p>
          <w:p w14:paraId="20DA1B19" w14:textId="77777777" w:rsidR="005C1C71" w:rsidRPr="00261018" w:rsidRDefault="005C1C71" w:rsidP="00277809">
            <w:pPr>
              <w:widowControl w:val="0"/>
              <w:tabs>
                <w:tab w:val="left" w:pos="248"/>
              </w:tabs>
              <w:autoSpaceDE w:val="0"/>
              <w:autoSpaceDN w:val="0"/>
              <w:ind w:right="101"/>
              <w:rPr>
                <w:lang w:val="en-US"/>
              </w:rPr>
            </w:pPr>
          </w:p>
          <w:p w14:paraId="6A4E4BAC" w14:textId="77777777" w:rsidR="005C1C71" w:rsidRPr="00261018" w:rsidRDefault="005C1C71" w:rsidP="00277809">
            <w:pPr>
              <w:widowControl w:val="0"/>
              <w:tabs>
                <w:tab w:val="left" w:pos="248"/>
              </w:tabs>
              <w:autoSpaceDE w:val="0"/>
              <w:autoSpaceDN w:val="0"/>
              <w:ind w:right="101"/>
            </w:pPr>
            <w:r w:rsidRPr="00261018">
              <w:rPr>
                <w:u w:val="single"/>
              </w:rPr>
              <w:t xml:space="preserve">V. Վավերացման պահանջներ </w:t>
            </w:r>
            <w:r w:rsidRPr="00261018">
              <w:t>(ազգային օրենսդրության պահանջի համաձայն)</w:t>
            </w:r>
          </w:p>
          <w:p w14:paraId="58B9EB29" w14:textId="77777777" w:rsidR="005C1C71" w:rsidRPr="00261018" w:rsidRDefault="005C1C71" w:rsidP="00277809">
            <w:pPr>
              <w:widowControl w:val="0"/>
              <w:tabs>
                <w:tab w:val="left" w:pos="248"/>
              </w:tabs>
              <w:autoSpaceDE w:val="0"/>
              <w:autoSpaceDN w:val="0"/>
              <w:ind w:right="101"/>
            </w:pPr>
            <w:r w:rsidRPr="00261018">
              <w:t>Համապատասխանությունն ապահովելու համար դիմորդը ներկայացնում է հետևյալ փաստաթղթերը․</w:t>
            </w:r>
          </w:p>
          <w:p w14:paraId="6F7F7063" w14:textId="77777777" w:rsidR="005C1C71" w:rsidRPr="00261018" w:rsidRDefault="005C1C71" w:rsidP="005C1C71">
            <w:pPr>
              <w:widowControl w:val="0"/>
              <w:numPr>
                <w:ilvl w:val="0"/>
                <w:numId w:val="17"/>
              </w:numPr>
              <w:tabs>
                <w:tab w:val="left" w:pos="248"/>
              </w:tabs>
              <w:autoSpaceDE w:val="0"/>
              <w:autoSpaceDN w:val="0"/>
              <w:ind w:right="101"/>
            </w:pPr>
            <w:r w:rsidRPr="00261018">
              <w:t>Ինքնակենսագրություն (CV), որտեղ արտացոլված է դիմումի տարվա և նախորդ հինգ (5) տարիների գործունեությունը;</w:t>
            </w:r>
          </w:p>
          <w:p w14:paraId="070786C5" w14:textId="77777777" w:rsidR="005C1C71" w:rsidRPr="00261018" w:rsidRDefault="005C1C71" w:rsidP="005C1C71">
            <w:pPr>
              <w:widowControl w:val="0"/>
              <w:numPr>
                <w:ilvl w:val="0"/>
                <w:numId w:val="17"/>
              </w:numPr>
              <w:tabs>
                <w:tab w:val="left" w:pos="248"/>
              </w:tabs>
              <w:autoSpaceDE w:val="0"/>
              <w:autoSpaceDN w:val="0"/>
              <w:ind w:right="101"/>
            </w:pPr>
            <w:r w:rsidRPr="00261018">
              <w:t>Սույն առաջադրանքին նման ծառայությունների մատուցման առնվազն մեկ (1) նախկին պայմանագրի պատճեն;</w:t>
            </w:r>
          </w:p>
          <w:p w14:paraId="46C9F055" w14:textId="77777777" w:rsidR="005C1C71" w:rsidRPr="00261018" w:rsidRDefault="005C1C71" w:rsidP="005C1C71">
            <w:pPr>
              <w:widowControl w:val="0"/>
              <w:numPr>
                <w:ilvl w:val="0"/>
                <w:numId w:val="17"/>
              </w:numPr>
              <w:tabs>
                <w:tab w:val="left" w:pos="248"/>
              </w:tabs>
              <w:autoSpaceDE w:val="0"/>
              <w:autoSpaceDN w:val="0"/>
              <w:ind w:right="101"/>
            </w:pPr>
            <w:r w:rsidRPr="00261018">
              <w:t>Պայմանագրով նախատեսված արդյունք(ներ)ի հաջող հանձնում-ընդունումը հաստատող փաստաթուղթ (օրինակ՝ հանձնում-ընդունման ակտ);</w:t>
            </w:r>
          </w:p>
          <w:p w14:paraId="4C15D2A2" w14:textId="77777777" w:rsidR="005C1C71" w:rsidRPr="00261018" w:rsidRDefault="005C1C71" w:rsidP="005C1C71">
            <w:pPr>
              <w:widowControl w:val="0"/>
              <w:numPr>
                <w:ilvl w:val="0"/>
                <w:numId w:val="17"/>
              </w:numPr>
              <w:tabs>
                <w:tab w:val="left" w:pos="248"/>
              </w:tabs>
              <w:autoSpaceDE w:val="0"/>
              <w:autoSpaceDN w:val="0"/>
              <w:ind w:right="101"/>
            </w:pPr>
            <w:r w:rsidRPr="00261018">
              <w:t>Խորհրդատուի անձնագրի և որակավորման փաստաթղթերի պատճեններ (դիպլոմներ, վկայականներ և այլն)։</w:t>
            </w:r>
          </w:p>
          <w:p w14:paraId="7C3E5DF3" w14:textId="77777777" w:rsidR="005C1C71" w:rsidRPr="00261018" w:rsidRDefault="005C1C71" w:rsidP="00277809">
            <w:pPr>
              <w:widowControl w:val="0"/>
              <w:tabs>
                <w:tab w:val="left" w:pos="165"/>
              </w:tabs>
              <w:autoSpaceDE w:val="0"/>
              <w:autoSpaceDN w:val="0"/>
              <w:spacing w:before="60" w:after="60"/>
              <w:ind w:right="101"/>
            </w:pPr>
          </w:p>
        </w:tc>
      </w:tr>
    </w:tbl>
    <w:p w14:paraId="4BE7AD6F" w14:textId="77777777" w:rsidR="005C1C71" w:rsidRPr="00261018" w:rsidRDefault="005C1C71" w:rsidP="005C1C71"/>
    <w:p w14:paraId="11F556AA" w14:textId="77777777" w:rsidR="005C1C71" w:rsidRPr="00261018" w:rsidRDefault="005C1C71" w:rsidP="005C1C71">
      <w:pPr>
        <w:pStyle w:val="Normal1"/>
        <w:numPr>
          <w:ilvl w:val="0"/>
          <w:numId w:val="18"/>
        </w:numPr>
        <w:spacing w:before="360" w:beforeAutospacing="0" w:after="120"/>
        <w:ind w:right="-187"/>
        <w:rPr>
          <w:rFonts w:ascii="GHEA Grapalat" w:hAnsi="GHEA Grapalat" w:cs="Calibri"/>
          <w:bCs/>
        </w:rPr>
      </w:pPr>
      <w:r w:rsidRPr="00261018">
        <w:rPr>
          <w:rFonts w:ascii="GHEA Grapalat" w:hAnsi="GHEA Grapalat"/>
        </w:rPr>
        <w:t>ԳՆԱՀԱՏՄԱՆ ՄԵԹՈԴ</w:t>
      </w:r>
    </w:p>
    <w:p w14:paraId="0C0A7B59" w14:textId="77777777" w:rsidR="005C1C71" w:rsidRPr="00261018" w:rsidRDefault="005C1C71" w:rsidP="005C1C71">
      <w:pPr>
        <w:widowControl w:val="0"/>
        <w:tabs>
          <w:tab w:val="left" w:pos="333"/>
        </w:tabs>
        <w:autoSpaceDE w:val="0"/>
        <w:autoSpaceDN w:val="0"/>
        <w:spacing w:before="240" w:after="120"/>
        <w:ind w:left="-90" w:right="-162"/>
        <w:rPr>
          <w:rFonts w:ascii="GHEA Grapalat" w:eastAsia="Calibri" w:hAnsi="GHEA Grapalat" w:cs="Calibri"/>
          <w:sz w:val="22"/>
          <w:szCs w:val="22"/>
        </w:rPr>
      </w:pPr>
      <w:r w:rsidRPr="00261018">
        <w:rPr>
          <w:rFonts w:ascii="GHEA Grapalat" w:hAnsi="GHEA Grapalat"/>
          <w:sz w:val="22"/>
        </w:rPr>
        <w:t>Կկիրառվի համակցված գնահատում. տեխնիկական մասը՝ 70%, ֆինանսական առաջարկը՝ 30%։</w:t>
      </w:r>
    </w:p>
    <w:p w14:paraId="092AB2AB" w14:textId="77777777" w:rsidR="005C1C71" w:rsidRPr="00261018" w:rsidRDefault="005C1C71" w:rsidP="005C1C71">
      <w:pPr>
        <w:widowControl w:val="0"/>
        <w:tabs>
          <w:tab w:val="left" w:pos="333"/>
        </w:tabs>
        <w:autoSpaceDE w:val="0"/>
        <w:autoSpaceDN w:val="0"/>
        <w:spacing w:before="120" w:after="120"/>
        <w:ind w:left="-90" w:right="-162"/>
        <w:rPr>
          <w:rFonts w:ascii="GHEA Grapalat" w:eastAsia="Calibri" w:hAnsi="GHEA Grapalat" w:cs="Calibri"/>
          <w:sz w:val="22"/>
          <w:szCs w:val="22"/>
        </w:rPr>
      </w:pPr>
      <w:r w:rsidRPr="00261018">
        <w:rPr>
          <w:rFonts w:ascii="GHEA Grapalat" w:hAnsi="GHEA Grapalat"/>
          <w:sz w:val="22"/>
        </w:rPr>
        <w:t>Թեկնածուները կգնահատվեն կուտակային վերլուծության՝ համակցման ձևով</w:t>
      </w:r>
    </w:p>
    <w:p w14:paraId="4614F97A" w14:textId="77777777" w:rsidR="005C1C71" w:rsidRPr="00261018" w:rsidRDefault="005C1C71" w:rsidP="005C1C71">
      <w:pPr>
        <w:pStyle w:val="a7"/>
        <w:widowControl w:val="0"/>
        <w:numPr>
          <w:ilvl w:val="0"/>
          <w:numId w:val="9"/>
        </w:numPr>
        <w:tabs>
          <w:tab w:val="left" w:pos="333"/>
        </w:tabs>
        <w:autoSpaceDE w:val="0"/>
        <w:autoSpaceDN w:val="0"/>
        <w:spacing w:before="60" w:after="60"/>
        <w:ind w:left="-90" w:right="-162" w:firstLine="360"/>
        <w:contextualSpacing w:val="0"/>
        <w:rPr>
          <w:rFonts w:ascii="GHEA Grapalat" w:hAnsi="GHEA Grapalat" w:cs="Calibri"/>
          <w:sz w:val="22"/>
          <w:szCs w:val="22"/>
        </w:rPr>
      </w:pPr>
      <w:r w:rsidRPr="00261018">
        <w:rPr>
          <w:rFonts w:ascii="GHEA Grapalat" w:hAnsi="GHEA Grapalat"/>
          <w:sz w:val="22"/>
        </w:rPr>
        <w:t xml:space="preserve">տեխնիկական որակավորումներ, փորձ և </w:t>
      </w:r>
    </w:p>
    <w:p w14:paraId="2DB38F5E" w14:textId="77777777" w:rsidR="005C1C71" w:rsidRPr="00261018" w:rsidRDefault="005C1C71" w:rsidP="005C1C71">
      <w:pPr>
        <w:pStyle w:val="a7"/>
        <w:widowControl w:val="0"/>
        <w:numPr>
          <w:ilvl w:val="0"/>
          <w:numId w:val="9"/>
        </w:numPr>
        <w:tabs>
          <w:tab w:val="left" w:pos="333"/>
        </w:tabs>
        <w:autoSpaceDE w:val="0"/>
        <w:autoSpaceDN w:val="0"/>
        <w:spacing w:before="60" w:after="60"/>
        <w:ind w:left="-90" w:right="-162" w:firstLine="360"/>
        <w:contextualSpacing w:val="0"/>
        <w:rPr>
          <w:rFonts w:ascii="GHEA Grapalat" w:hAnsi="GHEA Grapalat" w:cs="Calibri"/>
          <w:sz w:val="22"/>
          <w:szCs w:val="22"/>
        </w:rPr>
      </w:pPr>
      <w:r w:rsidRPr="00261018">
        <w:rPr>
          <w:rFonts w:ascii="GHEA Grapalat" w:hAnsi="GHEA Grapalat"/>
          <w:sz w:val="22"/>
        </w:rPr>
        <w:t>ֆինանսական առաջարկ</w:t>
      </w:r>
    </w:p>
    <w:p w14:paraId="5C8FDF04" w14:textId="77777777" w:rsidR="005C1C71" w:rsidRPr="00261018" w:rsidRDefault="005C1C71" w:rsidP="005C1C71">
      <w:pPr>
        <w:suppressAutoHyphens/>
        <w:spacing w:after="240"/>
        <w:ind w:left="-90" w:right="-162"/>
        <w:rPr>
          <w:rFonts w:ascii="GHEA Grapalat" w:hAnsi="GHEA Grapalat"/>
          <w:sz w:val="22"/>
        </w:rPr>
      </w:pPr>
      <w:r w:rsidRPr="00261018">
        <w:rPr>
          <w:rFonts w:ascii="GHEA Grapalat" w:hAnsi="GHEA Grapalat"/>
          <w:sz w:val="22"/>
        </w:rPr>
        <w:t>Պայմանագիրը կկնքվի այն անհատ խորհրդատուի հետ, որի առաջարկը կճանաչվի տեխնիկապես համապատասխան Տեխնիկական առաջադրանքի (ՏԱ) պահանջներին և որը սահմանված տեխնիկական ու ֆինանսական չափանիշների շրջանակում կստանա առավելագույն համակցված միավորը։</w:t>
      </w:r>
    </w:p>
    <w:p w14:paraId="166B7C70" w14:textId="77777777" w:rsidR="005C1C71" w:rsidRPr="00261018" w:rsidRDefault="005C1C71" w:rsidP="005C1C71">
      <w:pPr>
        <w:suppressAutoHyphens/>
        <w:spacing w:after="240"/>
        <w:ind w:left="-90" w:right="-162"/>
        <w:rPr>
          <w:rFonts w:ascii="GHEA Grapalat" w:hAnsi="GHEA Grapalat"/>
          <w:sz w:val="22"/>
        </w:rPr>
      </w:pPr>
      <w:r w:rsidRPr="00261018">
        <w:rPr>
          <w:rFonts w:ascii="GHEA Grapalat" w:hAnsi="GHEA Grapalat"/>
          <w:sz w:val="22"/>
        </w:rPr>
        <w:t>Ֆինանսական գնահատման փուլ կանցնեն միայն այն թեկնածուները, որոնք տեխնիկական գնահատման արդյունքում կհավաքեն նվազագույնը 60 միավոր՝ 100 հնարավոր միավորից։</w:t>
      </w:r>
    </w:p>
    <w:p w14:paraId="3491A250" w14:textId="77777777" w:rsidR="005C1C71" w:rsidRPr="00261018" w:rsidRDefault="005C1C71" w:rsidP="005C1C71">
      <w:pPr>
        <w:suppressAutoHyphens/>
        <w:spacing w:after="240"/>
        <w:ind w:left="-90" w:right="-162"/>
        <w:rPr>
          <w:rFonts w:ascii="GHEA Grapalat" w:hAnsi="GHEA Grapalat"/>
          <w:sz w:val="22"/>
        </w:rPr>
      </w:pPr>
      <w:r w:rsidRPr="00261018">
        <w:rPr>
          <w:rFonts w:ascii="GHEA Grapalat" w:hAnsi="GHEA Grapalat"/>
          <w:sz w:val="22"/>
        </w:rPr>
        <w:t>«Բնապահպանական ծրագրերի իրականացման գրասենյակ» պետական հիմնարկը կարող է պահանջել լրացուցիչ գրավոր նյութեր և իրականացնել երաշխավորագրերի ստուգում։ Ուղեկցող նամակում պետք է ներառված լինեն առնվազն երեք (3) երաշխավորների տվյալներ։</w:t>
      </w:r>
    </w:p>
    <w:p w14:paraId="520CB7CB" w14:textId="77777777" w:rsidR="005C1C71" w:rsidRPr="00261018" w:rsidRDefault="005C1C71" w:rsidP="005C1C71">
      <w:pPr>
        <w:suppressAutoHyphens/>
        <w:spacing w:after="240"/>
        <w:ind w:left="-90" w:right="-162"/>
        <w:rPr>
          <w:rFonts w:ascii="GHEA Grapalat" w:hAnsi="GHEA Grapalat" w:cs="Calibri"/>
          <w:sz w:val="22"/>
          <w:szCs w:val="22"/>
        </w:rPr>
      </w:pPr>
      <w:r w:rsidRPr="00261018">
        <w:rPr>
          <w:rFonts w:ascii="GHEA Grapalat" w:hAnsi="GHEA Grapalat"/>
          <w:sz w:val="22"/>
        </w:rPr>
        <w:t>Տեխնիկական գնահատումը կներառի ներկայացված փաստաթղթերի ուսումնասիրություն և կարճ ցուցակում ընդգրկված թեկնածուների հետ հարցազրույց՝ Տեխնիկական առաջադրանքի պահանջներին համապատասխան նրանց մասնագիտական կարողություններն ու իրավասությունները գնահատելու նպատակով։</w:t>
      </w:r>
    </w:p>
    <w:tbl>
      <w:tblPr>
        <w:tblStyle w:val="PlainTable11"/>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6"/>
        <w:gridCol w:w="1661"/>
        <w:gridCol w:w="914"/>
      </w:tblGrid>
      <w:tr w:rsidR="005C1C71" w:rsidRPr="00261018" w14:paraId="0DC76A42" w14:textId="77777777" w:rsidTr="0005683D">
        <w:trPr>
          <w:cnfStyle w:val="100000000000" w:firstRow="1" w:lastRow="0" w:firstColumn="0" w:lastColumn="0" w:oddVBand="0" w:evenVBand="0" w:oddHBand="0"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4CF3D3B1" w14:textId="77777777" w:rsidR="005C1C71" w:rsidRPr="00261018" w:rsidRDefault="005C1C71" w:rsidP="00277809">
            <w:pPr>
              <w:rPr>
                <w:rFonts w:ascii="GHEA Grapalat" w:hAnsi="GHEA Grapalat" w:cs="Calibri"/>
                <w:b w:val="0"/>
                <w:iCs/>
                <w:color w:val="000000"/>
                <w:sz w:val="22"/>
                <w:szCs w:val="22"/>
              </w:rPr>
            </w:pPr>
            <w:r w:rsidRPr="00261018">
              <w:rPr>
                <w:rFonts w:ascii="GHEA Grapalat" w:hAnsi="GHEA Grapalat"/>
                <w:b w:val="0"/>
                <w:sz w:val="22"/>
              </w:rPr>
              <w:t>Պահանջվող որակավորում</w:t>
            </w:r>
          </w:p>
        </w:tc>
        <w:tc>
          <w:tcPr>
            <w:tcW w:w="1661" w:type="dxa"/>
            <w:shd w:val="clear" w:color="auto" w:fill="auto"/>
          </w:tcPr>
          <w:p w14:paraId="410D0B30" w14:textId="77777777" w:rsidR="005C1C71" w:rsidRPr="00261018" w:rsidRDefault="005C1C71" w:rsidP="00277809">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261018">
              <w:rPr>
                <w:rFonts w:ascii="GHEA Grapalat" w:hAnsi="GHEA Grapalat"/>
                <w:b w:val="0"/>
                <w:sz w:val="22"/>
              </w:rPr>
              <w:t>Առավելագույն միավոր</w:t>
            </w:r>
          </w:p>
        </w:tc>
        <w:tc>
          <w:tcPr>
            <w:tcW w:w="914" w:type="dxa"/>
            <w:shd w:val="clear" w:color="auto" w:fill="auto"/>
          </w:tcPr>
          <w:p w14:paraId="2C72FAC5" w14:textId="77777777" w:rsidR="005C1C71" w:rsidRPr="00261018" w:rsidRDefault="005C1C71" w:rsidP="00277809">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261018">
              <w:rPr>
                <w:rFonts w:ascii="GHEA Grapalat" w:hAnsi="GHEA Grapalat"/>
                <w:b w:val="0"/>
                <w:sz w:val="22"/>
              </w:rPr>
              <w:t>Կշիռ,</w:t>
            </w:r>
          </w:p>
          <w:p w14:paraId="520B123C" w14:textId="77777777" w:rsidR="005C1C71" w:rsidRPr="00261018" w:rsidRDefault="005C1C71" w:rsidP="00277809">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261018">
              <w:rPr>
                <w:rFonts w:ascii="GHEA Grapalat" w:hAnsi="GHEA Grapalat"/>
                <w:b w:val="0"/>
                <w:sz w:val="22"/>
              </w:rPr>
              <w:t>%</w:t>
            </w:r>
          </w:p>
        </w:tc>
      </w:tr>
      <w:tr w:rsidR="0005683D" w:rsidRPr="00261018" w14:paraId="60845948" w14:textId="77777777" w:rsidTr="000568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36440D04" w14:textId="77777777" w:rsidR="0005683D" w:rsidRPr="00261018" w:rsidRDefault="0005683D" w:rsidP="00277809">
            <w:pPr>
              <w:rPr>
                <w:rFonts w:ascii="GHEA Grapalat" w:hAnsi="GHEA Grapalat" w:cs="Calibri"/>
                <w:b w:val="0"/>
                <w:iCs/>
                <w:color w:val="000000"/>
                <w:sz w:val="22"/>
                <w:szCs w:val="22"/>
              </w:rPr>
            </w:pPr>
            <w:r w:rsidRPr="00261018">
              <w:rPr>
                <w:rFonts w:ascii="GHEA Grapalat" w:hAnsi="GHEA Grapalat"/>
                <w:b w:val="0"/>
                <w:sz w:val="22"/>
                <w:u w:val="single"/>
              </w:rPr>
              <w:t>Կրթություն</w:t>
            </w:r>
          </w:p>
        </w:tc>
        <w:tc>
          <w:tcPr>
            <w:tcW w:w="1661" w:type="dxa"/>
            <w:shd w:val="clear" w:color="auto" w:fill="auto"/>
            <w:vAlign w:val="center"/>
          </w:tcPr>
          <w:p w14:paraId="6BB41E47" w14:textId="1189296C" w:rsidR="0005683D" w:rsidRPr="00261018" w:rsidRDefault="0005683D" w:rsidP="00277809">
            <w:pP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p>
        </w:tc>
        <w:tc>
          <w:tcPr>
            <w:tcW w:w="914" w:type="dxa"/>
            <w:shd w:val="clear" w:color="auto" w:fill="auto"/>
            <w:vAlign w:val="center"/>
          </w:tcPr>
          <w:p w14:paraId="77FA8319" w14:textId="2BD89AFC" w:rsidR="0005683D" w:rsidRPr="00261018" w:rsidRDefault="0005683D" w:rsidP="00277809">
            <w:pP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p>
        </w:tc>
      </w:tr>
      <w:tr w:rsidR="0005683D" w:rsidRPr="00261018" w14:paraId="7D241641" w14:textId="77777777" w:rsidTr="0005683D">
        <w:trPr>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5061FB18" w14:textId="77777777" w:rsidR="0005683D" w:rsidRPr="00261018" w:rsidRDefault="0005683D" w:rsidP="00277809">
            <w:pPr>
              <w:widowControl w:val="0"/>
              <w:tabs>
                <w:tab w:val="left" w:pos="333"/>
              </w:tabs>
              <w:autoSpaceDE w:val="0"/>
              <w:autoSpaceDN w:val="0"/>
              <w:ind w:right="101"/>
              <w:rPr>
                <w:rFonts w:ascii="GHEA Grapalat" w:hAnsi="GHEA Grapalat" w:cs="Calibri"/>
                <w:b w:val="0"/>
                <w:sz w:val="22"/>
                <w:szCs w:val="22"/>
              </w:rPr>
            </w:pPr>
            <w:r w:rsidRPr="00261018">
              <w:rPr>
                <w:rFonts w:ascii="GHEA Grapalat" w:hAnsi="GHEA Grapalat"/>
                <w:b w:val="0"/>
                <w:sz w:val="22"/>
              </w:rPr>
              <w:t xml:space="preserve">Մագիստրոսի աստիճան ագրո-բնապահպանական գիտությունների, բնապահպանական տնտեսագիտության, գյուղատնտեսության, </w:t>
            </w:r>
            <w:r w:rsidRPr="00261018">
              <w:rPr>
                <w:rFonts w:ascii="GHEA Grapalat" w:hAnsi="GHEA Grapalat"/>
                <w:b w:val="0"/>
                <w:sz w:val="22"/>
              </w:rPr>
              <w:lastRenderedPageBreak/>
              <w:t>բնական ռեսուրսների կառավարման, բնապահպանական քաղաքականության, գյուղական զարգացման կամ այլ սերտորեն հարակից ոլորտում։</w:t>
            </w:r>
          </w:p>
        </w:tc>
        <w:tc>
          <w:tcPr>
            <w:tcW w:w="1661" w:type="dxa"/>
            <w:shd w:val="clear" w:color="auto" w:fill="auto"/>
          </w:tcPr>
          <w:p w14:paraId="59EA9CB0" w14:textId="5606D3FF" w:rsidR="0005683D" w:rsidRPr="00261018" w:rsidRDefault="0005683D" w:rsidP="00277809">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cs="Calibri"/>
                <w:iCs/>
                <w:color w:val="000000"/>
                <w:sz w:val="22"/>
                <w:szCs w:val="22"/>
              </w:rPr>
              <w:lastRenderedPageBreak/>
              <w:t>5</w:t>
            </w:r>
          </w:p>
        </w:tc>
        <w:tc>
          <w:tcPr>
            <w:tcW w:w="914" w:type="dxa"/>
            <w:shd w:val="clear" w:color="auto" w:fill="auto"/>
          </w:tcPr>
          <w:p w14:paraId="1889E508" w14:textId="2FBE8B0B" w:rsidR="0005683D" w:rsidRPr="00261018" w:rsidRDefault="0005683D" w:rsidP="00277809">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cs="Calibri"/>
                <w:iCs/>
                <w:color w:val="000000"/>
                <w:sz w:val="22"/>
                <w:szCs w:val="22"/>
              </w:rPr>
              <w:t>5</w:t>
            </w:r>
            <w:r w:rsidRPr="00261018">
              <w:rPr>
                <w:rFonts w:ascii="GHEA Grapalat" w:hAnsi="GHEA Grapalat"/>
                <w:sz w:val="22"/>
              </w:rPr>
              <w:t>%</w:t>
            </w:r>
          </w:p>
        </w:tc>
      </w:tr>
      <w:tr w:rsidR="005C1C71" w:rsidRPr="00261018" w14:paraId="28507EEF" w14:textId="77777777" w:rsidTr="000568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6C76BE36" w14:textId="77777777" w:rsidR="005C1C71" w:rsidRPr="00261018" w:rsidRDefault="005C1C71" w:rsidP="00277809">
            <w:pPr>
              <w:widowControl w:val="0"/>
              <w:tabs>
                <w:tab w:val="left" w:pos="333"/>
              </w:tabs>
              <w:autoSpaceDE w:val="0"/>
              <w:autoSpaceDN w:val="0"/>
              <w:ind w:right="101"/>
              <w:rPr>
                <w:rFonts w:ascii="GHEA Grapalat" w:hAnsi="GHEA Grapalat"/>
                <w:b w:val="0"/>
                <w:sz w:val="22"/>
              </w:rPr>
            </w:pPr>
            <w:r w:rsidRPr="00261018">
              <w:rPr>
                <w:rFonts w:ascii="GHEA Grapalat" w:hAnsi="GHEA Grapalat"/>
                <w:b w:val="0"/>
                <w:sz w:val="22"/>
              </w:rPr>
              <w:lastRenderedPageBreak/>
              <w:t>Ավելի բարձր աստիճան ագրո-բնապահպանական գիտությունների, բնապահպանական տնտեսագիտության, գյուղատնտեսության, բնական ռեսուրսների կառավարման, բնապահպանական քաղաքականության, գյուղական զարգացման կամ այլ սերտորեն հարակից ոլորտում։</w:t>
            </w:r>
          </w:p>
        </w:tc>
        <w:tc>
          <w:tcPr>
            <w:tcW w:w="1661" w:type="dxa"/>
            <w:shd w:val="clear" w:color="auto" w:fill="auto"/>
            <w:vAlign w:val="center"/>
          </w:tcPr>
          <w:p w14:paraId="226C0E89"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r w:rsidRPr="00261018">
              <w:rPr>
                <w:rFonts w:ascii="GHEA Grapalat" w:hAnsi="GHEA Grapalat"/>
                <w:sz w:val="22"/>
              </w:rPr>
              <w:t>10</w:t>
            </w:r>
          </w:p>
        </w:tc>
        <w:tc>
          <w:tcPr>
            <w:tcW w:w="914" w:type="dxa"/>
            <w:shd w:val="clear" w:color="auto" w:fill="auto"/>
            <w:vAlign w:val="center"/>
          </w:tcPr>
          <w:p w14:paraId="26766D6C"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r w:rsidRPr="00261018">
              <w:rPr>
                <w:rFonts w:ascii="GHEA Grapalat" w:hAnsi="GHEA Grapalat"/>
                <w:sz w:val="22"/>
              </w:rPr>
              <w:t>15%</w:t>
            </w:r>
          </w:p>
        </w:tc>
      </w:tr>
      <w:tr w:rsidR="005C1C71" w:rsidRPr="00261018" w14:paraId="6A93B526" w14:textId="77777777" w:rsidTr="0005683D">
        <w:trPr>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3322613B" w14:textId="77777777" w:rsidR="005C1C71" w:rsidRPr="00261018" w:rsidRDefault="005C1C71" w:rsidP="00277809">
            <w:pPr>
              <w:widowControl w:val="0"/>
              <w:tabs>
                <w:tab w:val="left" w:pos="333"/>
              </w:tabs>
              <w:autoSpaceDE w:val="0"/>
              <w:autoSpaceDN w:val="0"/>
              <w:ind w:right="101"/>
              <w:rPr>
                <w:rFonts w:ascii="GHEA Grapalat" w:hAnsi="GHEA Grapalat"/>
                <w:b w:val="0"/>
                <w:sz w:val="22"/>
              </w:rPr>
            </w:pPr>
          </w:p>
        </w:tc>
        <w:tc>
          <w:tcPr>
            <w:tcW w:w="1661" w:type="dxa"/>
            <w:shd w:val="clear" w:color="auto" w:fill="auto"/>
          </w:tcPr>
          <w:p w14:paraId="48F8D612" w14:textId="77777777" w:rsidR="005C1C71" w:rsidRPr="00261018" w:rsidRDefault="005C1C71" w:rsidP="00277809">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c>
          <w:tcPr>
            <w:tcW w:w="914" w:type="dxa"/>
            <w:shd w:val="clear" w:color="auto" w:fill="auto"/>
          </w:tcPr>
          <w:p w14:paraId="0D394EE1" w14:textId="77777777" w:rsidR="005C1C71" w:rsidRPr="00261018" w:rsidRDefault="005C1C71" w:rsidP="00277809">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5C1C71" w:rsidRPr="00261018" w14:paraId="54EABB44" w14:textId="77777777" w:rsidTr="0005683D">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3F996179" w14:textId="77777777" w:rsidR="005C1C71" w:rsidRPr="00261018" w:rsidRDefault="005C1C71" w:rsidP="00277809">
            <w:pPr>
              <w:rPr>
                <w:rFonts w:ascii="GHEA Grapalat" w:hAnsi="GHEA Grapalat" w:cs="Calibri"/>
                <w:b w:val="0"/>
                <w:color w:val="000000"/>
                <w:sz w:val="22"/>
                <w:szCs w:val="22"/>
              </w:rPr>
            </w:pPr>
            <w:r w:rsidRPr="00261018">
              <w:rPr>
                <w:rFonts w:ascii="GHEA Grapalat" w:hAnsi="GHEA Grapalat"/>
                <w:b w:val="0"/>
                <w:sz w:val="22"/>
                <w:u w:val="single"/>
              </w:rPr>
              <w:t>Փորձ</w:t>
            </w:r>
          </w:p>
        </w:tc>
        <w:tc>
          <w:tcPr>
            <w:tcW w:w="1661" w:type="dxa"/>
            <w:shd w:val="clear" w:color="auto" w:fill="auto"/>
          </w:tcPr>
          <w:p w14:paraId="7A3D43A8" w14:textId="77777777" w:rsidR="005C1C71" w:rsidRPr="00261018" w:rsidRDefault="005C1C71" w:rsidP="00277809">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c>
          <w:tcPr>
            <w:tcW w:w="914" w:type="dxa"/>
            <w:shd w:val="clear" w:color="auto" w:fill="auto"/>
          </w:tcPr>
          <w:p w14:paraId="1B598908" w14:textId="77777777" w:rsidR="005C1C71" w:rsidRPr="00261018" w:rsidRDefault="005C1C71" w:rsidP="00277809">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5C1C71" w:rsidRPr="00261018" w14:paraId="295101EF" w14:textId="77777777" w:rsidTr="0005683D">
        <w:trPr>
          <w:trHeight w:val="791"/>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4C1F04DB" w14:textId="77777777" w:rsidR="005C1C71" w:rsidRPr="00261018" w:rsidRDefault="005C1C71" w:rsidP="00277809">
            <w:pPr>
              <w:widowControl w:val="0"/>
              <w:autoSpaceDE w:val="0"/>
              <w:autoSpaceDN w:val="0"/>
              <w:ind w:right="101"/>
              <w:rPr>
                <w:rFonts w:ascii="GHEA Grapalat" w:hAnsi="GHEA Grapalat" w:cs="Calibri"/>
                <w:b w:val="0"/>
                <w:sz w:val="22"/>
                <w:szCs w:val="22"/>
              </w:rPr>
            </w:pPr>
            <w:r w:rsidRPr="00261018">
              <w:rPr>
                <w:rFonts w:ascii="GHEA Grapalat" w:hAnsi="GHEA Grapalat"/>
                <w:b w:val="0"/>
                <w:sz w:val="22"/>
              </w:rPr>
              <w:t>Առնվազն 5 տարվա ապացուցված մասնագիտական փորձ ագրո-բնապահպանական վճարումների սխեմաների (AES/AEPS), էկոհամակարգային ծառայությունների դիմաց վճարումների (PES) կամ նմանատիպ խթանների վրա հիմնված բնապահպանական ֆինանսավորման գործիքների նախագծման, քաղաքականության մշակման կամ խորհրդատվական աջակցության ոլորտում, որոնք նպաստում են հողերի կայուն կառավարմանը և կենսաբազմազանության պահպանմանը։</w:t>
            </w:r>
          </w:p>
        </w:tc>
        <w:tc>
          <w:tcPr>
            <w:tcW w:w="1661" w:type="dxa"/>
            <w:shd w:val="clear" w:color="auto" w:fill="auto"/>
            <w:vAlign w:val="center"/>
          </w:tcPr>
          <w:p w14:paraId="5D0A27A3"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sz w:val="22"/>
              </w:rPr>
              <w:t>20</w:t>
            </w:r>
          </w:p>
        </w:tc>
        <w:tc>
          <w:tcPr>
            <w:tcW w:w="914" w:type="dxa"/>
            <w:vMerge w:val="restart"/>
            <w:shd w:val="clear" w:color="auto" w:fill="auto"/>
            <w:vAlign w:val="center"/>
          </w:tcPr>
          <w:p w14:paraId="699F8F80"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sz w:val="22"/>
              </w:rPr>
              <w:t>60%</w:t>
            </w:r>
          </w:p>
        </w:tc>
      </w:tr>
      <w:tr w:rsidR="005C1C71" w:rsidRPr="00261018" w14:paraId="763B8A32" w14:textId="77777777" w:rsidTr="0005683D">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23C3FEE6" w14:textId="77777777" w:rsidR="005C1C71" w:rsidRPr="00261018" w:rsidRDefault="005C1C71" w:rsidP="00277809">
            <w:pPr>
              <w:widowControl w:val="0"/>
              <w:autoSpaceDE w:val="0"/>
              <w:autoSpaceDN w:val="0"/>
              <w:ind w:right="101"/>
              <w:rPr>
                <w:rFonts w:ascii="GHEA Grapalat" w:hAnsi="GHEA Grapalat" w:cs="Calibri"/>
                <w:b w:val="0"/>
                <w:sz w:val="22"/>
                <w:szCs w:val="22"/>
              </w:rPr>
            </w:pPr>
            <w:r w:rsidRPr="00261018">
              <w:rPr>
                <w:rFonts w:ascii="GHEA Grapalat" w:hAnsi="GHEA Grapalat"/>
                <w:b w:val="0"/>
                <w:sz w:val="22"/>
              </w:rPr>
              <w:t>Ագրո-բնապահպանական միջոցառումների, կայուն գյուղատնտեսական պրակտիկաների, հողերի դեգրադացիայի չեզոքության (ՀԴՉ) և լանդշաֆտային մակարդակի էկոհամակարգային կառավարման մոտեցումների վերաբերյալ բարձր մակարդակի ապացուցված տեխնիկական փորձագիտություն։</w:t>
            </w:r>
          </w:p>
        </w:tc>
        <w:tc>
          <w:tcPr>
            <w:tcW w:w="1661" w:type="dxa"/>
            <w:shd w:val="clear" w:color="auto" w:fill="auto"/>
            <w:vAlign w:val="center"/>
          </w:tcPr>
          <w:p w14:paraId="31168590"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sz w:val="22"/>
              </w:rPr>
              <w:t>20</w:t>
            </w:r>
          </w:p>
        </w:tc>
        <w:tc>
          <w:tcPr>
            <w:tcW w:w="914" w:type="dxa"/>
            <w:vMerge/>
            <w:shd w:val="clear" w:color="auto" w:fill="auto"/>
          </w:tcPr>
          <w:p w14:paraId="480EAE25" w14:textId="77777777" w:rsidR="005C1C71" w:rsidRPr="00261018" w:rsidRDefault="005C1C71" w:rsidP="00277809">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5C1C71" w:rsidRPr="00261018" w14:paraId="64C51021" w14:textId="77777777" w:rsidTr="0005683D">
        <w:trPr>
          <w:trHeight w:val="440"/>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65318850" w14:textId="77777777" w:rsidR="005C1C71" w:rsidRPr="00261018" w:rsidRDefault="005C1C71" w:rsidP="00277809">
            <w:pPr>
              <w:widowControl w:val="0"/>
              <w:autoSpaceDE w:val="0"/>
              <w:autoSpaceDN w:val="0"/>
              <w:ind w:right="101"/>
              <w:rPr>
                <w:rFonts w:ascii="GHEA Grapalat" w:hAnsi="GHEA Grapalat" w:cs="Calibri"/>
                <w:b w:val="0"/>
                <w:sz w:val="22"/>
                <w:szCs w:val="22"/>
              </w:rPr>
            </w:pPr>
            <w:r w:rsidRPr="00261018">
              <w:rPr>
                <w:rFonts w:ascii="GHEA Grapalat" w:hAnsi="GHEA Grapalat"/>
                <w:b w:val="0"/>
                <w:sz w:val="22"/>
              </w:rPr>
              <w:t>ՄԱԶԾ-ի և/կամ ԳԷՀ-ի շրջանակների, մեթոդաբանությունների և պաշտպանական մեխանիզմների, ներառյալ Սոցիալական և բնապահպանական ստանդարտների (SES), կիրառման ապացուցված փորձ բարդ բազմաշահառու նախագծերում</w:t>
            </w:r>
          </w:p>
        </w:tc>
        <w:tc>
          <w:tcPr>
            <w:tcW w:w="1661" w:type="dxa"/>
            <w:shd w:val="clear" w:color="auto" w:fill="auto"/>
            <w:vAlign w:val="center"/>
          </w:tcPr>
          <w:p w14:paraId="3847517C"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sz w:val="22"/>
              </w:rPr>
              <w:t>10</w:t>
            </w:r>
          </w:p>
        </w:tc>
        <w:tc>
          <w:tcPr>
            <w:tcW w:w="914" w:type="dxa"/>
            <w:vMerge/>
            <w:shd w:val="clear" w:color="auto" w:fill="auto"/>
          </w:tcPr>
          <w:p w14:paraId="230DD585" w14:textId="77777777" w:rsidR="005C1C71" w:rsidRPr="00261018" w:rsidRDefault="005C1C71" w:rsidP="00277809">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5C1C71" w:rsidRPr="00261018" w14:paraId="0C03E2FC" w14:textId="77777777" w:rsidTr="0005683D">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7708A065" w14:textId="77777777" w:rsidR="005C1C71" w:rsidRPr="00261018" w:rsidRDefault="005C1C71" w:rsidP="00277809">
            <w:pPr>
              <w:widowControl w:val="0"/>
              <w:autoSpaceDE w:val="0"/>
              <w:autoSpaceDN w:val="0"/>
              <w:ind w:right="101"/>
              <w:rPr>
                <w:rFonts w:ascii="GHEA Grapalat" w:hAnsi="GHEA Grapalat" w:cs="Calibri"/>
                <w:b w:val="0"/>
                <w:color w:val="000000"/>
                <w:sz w:val="22"/>
                <w:szCs w:val="22"/>
              </w:rPr>
            </w:pPr>
            <w:r w:rsidRPr="00261018">
              <w:rPr>
                <w:rFonts w:ascii="GHEA Grapalat" w:hAnsi="GHEA Grapalat"/>
                <w:b w:val="0"/>
                <w:sz w:val="22"/>
              </w:rPr>
              <w:t>Արևելյան Եվրոպայում, ԱՊՀ երկրներում կամ համադրելի ինստիտուցիոնալ համատեքստերում նախորդ մասնագիտական փորձը համարվում է զգալի առավելություն։</w:t>
            </w:r>
          </w:p>
        </w:tc>
        <w:tc>
          <w:tcPr>
            <w:tcW w:w="1661" w:type="dxa"/>
            <w:shd w:val="clear" w:color="auto" w:fill="auto"/>
            <w:vAlign w:val="center"/>
          </w:tcPr>
          <w:p w14:paraId="20FE3DCD"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sz w:val="22"/>
              </w:rPr>
              <w:t>10</w:t>
            </w:r>
          </w:p>
        </w:tc>
        <w:tc>
          <w:tcPr>
            <w:tcW w:w="914" w:type="dxa"/>
            <w:vMerge/>
            <w:shd w:val="clear" w:color="auto" w:fill="auto"/>
          </w:tcPr>
          <w:p w14:paraId="5495A5BB" w14:textId="77777777" w:rsidR="005C1C71" w:rsidRPr="00261018" w:rsidRDefault="005C1C71" w:rsidP="00277809">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5C1C71" w:rsidRPr="00261018" w14:paraId="4EDDD903" w14:textId="77777777" w:rsidTr="0005683D">
        <w:trPr>
          <w:trHeight w:val="323"/>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0C278E2E" w14:textId="77777777" w:rsidR="005C1C71" w:rsidRPr="00261018" w:rsidRDefault="005C1C71" w:rsidP="00277809">
            <w:pPr>
              <w:widowControl w:val="0"/>
              <w:autoSpaceDE w:val="0"/>
              <w:autoSpaceDN w:val="0"/>
              <w:ind w:right="101"/>
              <w:rPr>
                <w:rFonts w:ascii="GHEA Grapalat" w:hAnsi="GHEA Grapalat" w:cs="Calibri"/>
                <w:b w:val="0"/>
                <w:sz w:val="22"/>
                <w:szCs w:val="22"/>
              </w:rPr>
            </w:pPr>
            <w:r w:rsidRPr="00261018">
              <w:rPr>
                <w:rFonts w:ascii="GHEA Grapalat" w:hAnsi="GHEA Grapalat"/>
                <w:b w:val="0"/>
                <w:sz w:val="22"/>
              </w:rPr>
              <w:t>ԳԷՀ-ի ծրագրավորման տրամաբանության, արդյունքների շրջանակների և նախագծային ցիկլերի ուժեղ ըմբռնում։</w:t>
            </w:r>
          </w:p>
        </w:tc>
        <w:tc>
          <w:tcPr>
            <w:tcW w:w="1661" w:type="dxa"/>
            <w:shd w:val="clear" w:color="auto" w:fill="auto"/>
            <w:vAlign w:val="center"/>
          </w:tcPr>
          <w:p w14:paraId="648629C4" w14:textId="77777777" w:rsidR="005C1C71" w:rsidRPr="00261018" w:rsidRDefault="005C1C71" w:rsidP="00277809">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sz w:val="22"/>
              </w:rPr>
              <w:t>5</w:t>
            </w:r>
          </w:p>
        </w:tc>
        <w:tc>
          <w:tcPr>
            <w:tcW w:w="914" w:type="dxa"/>
            <w:vMerge/>
            <w:shd w:val="clear" w:color="auto" w:fill="auto"/>
          </w:tcPr>
          <w:p w14:paraId="09FD20BE" w14:textId="77777777" w:rsidR="005C1C71" w:rsidRPr="00261018" w:rsidRDefault="005C1C71" w:rsidP="00277809">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5C1C71" w:rsidRPr="00261018" w14:paraId="639C41D1" w14:textId="77777777" w:rsidTr="0005683D">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2FDB2693" w14:textId="77777777" w:rsidR="005C1C71" w:rsidRPr="00261018" w:rsidRDefault="005C1C71" w:rsidP="00277809">
            <w:pPr>
              <w:widowControl w:val="0"/>
              <w:autoSpaceDE w:val="0"/>
              <w:autoSpaceDN w:val="0"/>
              <w:ind w:right="101"/>
              <w:rPr>
                <w:rFonts w:ascii="GHEA Grapalat" w:hAnsi="GHEA Grapalat" w:cs="Calibri"/>
                <w:b w:val="0"/>
                <w:sz w:val="22"/>
                <w:szCs w:val="22"/>
              </w:rPr>
            </w:pPr>
            <w:r w:rsidRPr="00261018">
              <w:rPr>
                <w:rFonts w:ascii="GHEA Grapalat" w:hAnsi="GHEA Grapalat"/>
                <w:b w:val="0"/>
                <w:sz w:val="22"/>
              </w:rPr>
              <w:t>Գենդերային արձագանքող և սոցիալապես ներառական մոտեցումների ապացուցված իմացություն ագրո-բնապահպանական սխեմաների և գյուղական զարգացման ոլորտներում;</w:t>
            </w:r>
          </w:p>
        </w:tc>
        <w:tc>
          <w:tcPr>
            <w:tcW w:w="1661" w:type="dxa"/>
            <w:shd w:val="clear" w:color="auto" w:fill="auto"/>
            <w:vAlign w:val="center"/>
          </w:tcPr>
          <w:p w14:paraId="0563B11E"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sz w:val="22"/>
              </w:rPr>
              <w:t>5</w:t>
            </w:r>
          </w:p>
        </w:tc>
        <w:tc>
          <w:tcPr>
            <w:tcW w:w="914" w:type="dxa"/>
            <w:vMerge/>
            <w:shd w:val="clear" w:color="auto" w:fill="auto"/>
          </w:tcPr>
          <w:p w14:paraId="5C8E8BF6" w14:textId="77777777" w:rsidR="005C1C71" w:rsidRPr="00261018" w:rsidRDefault="005C1C71" w:rsidP="00277809">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5C1C71" w:rsidRPr="00261018" w14:paraId="292E492A" w14:textId="77777777" w:rsidTr="0005683D">
        <w:trPr>
          <w:trHeight w:val="305"/>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7C95ECE0" w14:textId="77777777" w:rsidR="005C1C71" w:rsidRPr="00261018" w:rsidRDefault="005C1C71" w:rsidP="00277809">
            <w:pPr>
              <w:widowControl w:val="0"/>
              <w:autoSpaceDE w:val="0"/>
              <w:autoSpaceDN w:val="0"/>
              <w:ind w:right="101"/>
              <w:rPr>
                <w:rFonts w:ascii="GHEA Grapalat" w:hAnsi="GHEA Grapalat" w:cs="Calibri"/>
                <w:b w:val="0"/>
                <w:sz w:val="22"/>
                <w:szCs w:val="22"/>
              </w:rPr>
            </w:pPr>
            <w:r w:rsidRPr="00261018">
              <w:rPr>
                <w:rFonts w:ascii="GHEA Grapalat" w:hAnsi="GHEA Grapalat"/>
                <w:b w:val="0"/>
                <w:sz w:val="22"/>
                <w:u w:val="single"/>
              </w:rPr>
              <w:t>Հարցազրույց</w:t>
            </w:r>
          </w:p>
        </w:tc>
        <w:tc>
          <w:tcPr>
            <w:tcW w:w="1661" w:type="dxa"/>
            <w:shd w:val="clear" w:color="auto" w:fill="auto"/>
            <w:vAlign w:val="center"/>
          </w:tcPr>
          <w:p w14:paraId="1EAD5A8B" w14:textId="77777777" w:rsidR="005C1C71" w:rsidRPr="00261018" w:rsidRDefault="005C1C71" w:rsidP="00277809">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c>
          <w:tcPr>
            <w:tcW w:w="914" w:type="dxa"/>
            <w:shd w:val="clear" w:color="auto" w:fill="auto"/>
          </w:tcPr>
          <w:p w14:paraId="7B774210" w14:textId="77777777" w:rsidR="005C1C71" w:rsidRPr="00261018" w:rsidRDefault="005C1C71" w:rsidP="00277809">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5C1C71" w:rsidRPr="00261018" w14:paraId="6B501690" w14:textId="77777777" w:rsidTr="0005683D">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6FB992B7" w14:textId="77777777" w:rsidR="005C1C71" w:rsidRPr="00261018" w:rsidRDefault="005C1C71" w:rsidP="00277809">
            <w:pPr>
              <w:widowControl w:val="0"/>
              <w:autoSpaceDE w:val="0"/>
              <w:autoSpaceDN w:val="0"/>
              <w:ind w:right="101"/>
              <w:rPr>
                <w:rFonts w:ascii="GHEA Grapalat" w:hAnsi="GHEA Grapalat" w:cs="Calibri"/>
                <w:b w:val="0"/>
                <w:sz w:val="22"/>
                <w:szCs w:val="22"/>
              </w:rPr>
            </w:pPr>
            <w:r w:rsidRPr="00261018">
              <w:rPr>
                <w:rFonts w:ascii="GHEA Grapalat" w:hAnsi="GHEA Grapalat"/>
                <w:b w:val="0"/>
                <w:sz w:val="22"/>
              </w:rPr>
              <w:t>Կարճ ցուցակում ընդգրկված բոլոր թեկնածուները կհրավիրվեն հարցազրույցի՝ ՏԱ պահանջների նկատմամբ իրավասությունները հաստատելու համար։</w:t>
            </w:r>
          </w:p>
        </w:tc>
        <w:tc>
          <w:tcPr>
            <w:tcW w:w="1661" w:type="dxa"/>
            <w:shd w:val="clear" w:color="auto" w:fill="auto"/>
            <w:vAlign w:val="center"/>
          </w:tcPr>
          <w:p w14:paraId="3D3E7B1B"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sz w:val="22"/>
              </w:rPr>
              <w:t>10</w:t>
            </w:r>
          </w:p>
        </w:tc>
        <w:tc>
          <w:tcPr>
            <w:tcW w:w="914" w:type="dxa"/>
            <w:shd w:val="clear" w:color="auto" w:fill="auto"/>
            <w:vAlign w:val="center"/>
          </w:tcPr>
          <w:p w14:paraId="210581C5"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sz w:val="22"/>
              </w:rPr>
              <w:t>10%</w:t>
            </w:r>
          </w:p>
        </w:tc>
      </w:tr>
      <w:tr w:rsidR="005C1C71" w:rsidRPr="00261018" w14:paraId="6123E805" w14:textId="77777777" w:rsidTr="0005683D">
        <w:trPr>
          <w:trHeight w:val="242"/>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7A7E94C2" w14:textId="77777777" w:rsidR="005C1C71" w:rsidRPr="00261018" w:rsidRDefault="005C1C71" w:rsidP="00277809">
            <w:pPr>
              <w:widowControl w:val="0"/>
              <w:autoSpaceDE w:val="0"/>
              <w:autoSpaceDN w:val="0"/>
              <w:ind w:right="101"/>
              <w:rPr>
                <w:rFonts w:ascii="GHEA Grapalat" w:hAnsi="GHEA Grapalat" w:cs="Calibri"/>
                <w:b w:val="0"/>
                <w:color w:val="000000"/>
                <w:sz w:val="22"/>
                <w:szCs w:val="22"/>
              </w:rPr>
            </w:pPr>
            <w:r w:rsidRPr="00261018">
              <w:rPr>
                <w:rFonts w:ascii="GHEA Grapalat" w:hAnsi="GHEA Grapalat"/>
                <w:b w:val="0"/>
                <w:sz w:val="22"/>
                <w:u w:val="single"/>
              </w:rPr>
              <w:t xml:space="preserve">Լեզու  </w:t>
            </w:r>
          </w:p>
        </w:tc>
        <w:tc>
          <w:tcPr>
            <w:tcW w:w="1661" w:type="dxa"/>
            <w:shd w:val="clear" w:color="auto" w:fill="auto"/>
            <w:vAlign w:val="center"/>
          </w:tcPr>
          <w:p w14:paraId="651DDFD1" w14:textId="77777777" w:rsidR="005C1C71" w:rsidRPr="00261018" w:rsidRDefault="005C1C71" w:rsidP="00277809">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c>
          <w:tcPr>
            <w:tcW w:w="914" w:type="dxa"/>
            <w:shd w:val="clear" w:color="auto" w:fill="auto"/>
          </w:tcPr>
          <w:p w14:paraId="4620532E" w14:textId="77777777" w:rsidR="005C1C71" w:rsidRPr="00261018" w:rsidRDefault="005C1C71" w:rsidP="00277809">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5C1C71" w:rsidRPr="00261018" w14:paraId="6ADA34FC" w14:textId="77777777" w:rsidTr="0005683D">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7556" w:type="dxa"/>
            <w:shd w:val="clear" w:color="auto" w:fill="auto"/>
          </w:tcPr>
          <w:p w14:paraId="3988FFA1" w14:textId="77777777" w:rsidR="005C1C71" w:rsidRPr="00261018" w:rsidRDefault="005C1C71" w:rsidP="00277809">
            <w:pPr>
              <w:widowControl w:val="0"/>
              <w:autoSpaceDE w:val="0"/>
              <w:autoSpaceDN w:val="0"/>
              <w:ind w:right="101"/>
              <w:rPr>
                <w:rFonts w:ascii="GHEA Grapalat" w:hAnsi="GHEA Grapalat" w:cs="Calibri"/>
                <w:b w:val="0"/>
                <w:iCs/>
                <w:color w:val="000000"/>
                <w:sz w:val="22"/>
                <w:szCs w:val="22"/>
                <w:u w:val="single"/>
              </w:rPr>
            </w:pPr>
            <w:r w:rsidRPr="00261018">
              <w:rPr>
                <w:rFonts w:ascii="GHEA Grapalat" w:hAnsi="GHEA Grapalat"/>
                <w:b w:val="0"/>
                <w:sz w:val="22"/>
              </w:rPr>
              <w:t>Պահանջվում է գրավոր և բանավոր անգլերենի ազատ տիրապետում. ռուսերենի իմացությունը առավելություն է։</w:t>
            </w:r>
          </w:p>
        </w:tc>
        <w:tc>
          <w:tcPr>
            <w:tcW w:w="1661" w:type="dxa"/>
            <w:shd w:val="clear" w:color="auto" w:fill="auto"/>
            <w:vAlign w:val="center"/>
          </w:tcPr>
          <w:p w14:paraId="57C387F9"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sz w:val="22"/>
              </w:rPr>
              <w:t>5</w:t>
            </w:r>
          </w:p>
        </w:tc>
        <w:tc>
          <w:tcPr>
            <w:tcW w:w="914" w:type="dxa"/>
            <w:shd w:val="clear" w:color="auto" w:fill="auto"/>
          </w:tcPr>
          <w:p w14:paraId="0344360D" w14:textId="77777777" w:rsidR="005C1C71" w:rsidRPr="00261018" w:rsidRDefault="005C1C71" w:rsidP="00277809">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261018">
              <w:rPr>
                <w:rFonts w:ascii="GHEA Grapalat" w:hAnsi="GHEA Grapalat"/>
                <w:sz w:val="22"/>
              </w:rPr>
              <w:t>10%</w:t>
            </w:r>
          </w:p>
        </w:tc>
      </w:tr>
    </w:tbl>
    <w:p w14:paraId="502FA474" w14:textId="77777777" w:rsidR="005C1C71" w:rsidRPr="00261018" w:rsidRDefault="005C1C71" w:rsidP="005C1C71">
      <w:pPr>
        <w:pStyle w:val="Normal1"/>
        <w:numPr>
          <w:ilvl w:val="0"/>
          <w:numId w:val="18"/>
        </w:numPr>
        <w:spacing w:before="360" w:beforeAutospacing="0" w:after="120"/>
        <w:ind w:left="188" w:right="-187" w:hanging="274"/>
        <w:rPr>
          <w:rFonts w:ascii="GHEA Grapalat" w:hAnsi="GHEA Grapalat" w:cs="Calibri"/>
          <w:bCs/>
        </w:rPr>
      </w:pPr>
      <w:r w:rsidRPr="00261018">
        <w:rPr>
          <w:rFonts w:ascii="GHEA Grapalat" w:hAnsi="GHEA Grapalat"/>
        </w:rPr>
        <w:t>ՖԻՆԱՆՍԱԿԱՆ ԱՌԱՋԱՐԿ</w:t>
      </w:r>
    </w:p>
    <w:p w14:paraId="4EC4DF1D" w14:textId="77777777" w:rsidR="005C1C71" w:rsidRPr="00261018" w:rsidRDefault="005C1C71" w:rsidP="005C1C71">
      <w:r w:rsidRPr="00261018">
        <w:rPr>
          <w:rFonts w:ascii="GHEA Grapalat" w:hAnsi="GHEA Grapalat"/>
          <w:sz w:val="22"/>
        </w:rPr>
        <w:t xml:space="preserve">Միայն տեխնիկական գնահատման փուլը հաջողությամբ հաղթահարած նախնական փուլն անցած դիմորդները կարող են հրավիրվել հարցազրույցի, եթե գնահատող հանձնաժողովը դա անհրաժեշտ համարի: Հարցազրույցի փուլն ավարտելուց և վերջնական տեխնիկական գնահատումից հետո միայն տեխնիկական որակավորում ունեցող նախնական փուլն անցած թեկնածուների հետ կապ կհաստատվի և կխնդրվի ներկայացնել իրենց ֆինանսական </w:t>
      </w:r>
      <w:r w:rsidRPr="00261018">
        <w:rPr>
          <w:rFonts w:ascii="GHEA Grapalat" w:hAnsi="GHEA Grapalat"/>
          <w:sz w:val="22"/>
        </w:rPr>
        <w:lastRenderedPageBreak/>
        <w:t>առաջարկները՝ նշելով միանվագ գումար, որը ներառում է առաջադրանքի կատարման համար նախատեսված օրական վճարը և առաքելության հետ կապված ծախսերը:</w:t>
      </w:r>
    </w:p>
    <w:p w14:paraId="12BCB5DD" w14:textId="77777777" w:rsidR="005C1C71" w:rsidRPr="00261018" w:rsidRDefault="005C1C71" w:rsidP="005C1C71"/>
    <w:p w14:paraId="6C99AC89" w14:textId="77777777" w:rsidR="005C1C71" w:rsidRPr="00261018" w:rsidRDefault="005C1C71" w:rsidP="005C1C71"/>
    <w:p w14:paraId="72DC41BB" w14:textId="77777777" w:rsidR="00E925BE" w:rsidRPr="00CA0534" w:rsidRDefault="00E925BE" w:rsidP="00605627">
      <w:pPr>
        <w:tabs>
          <w:tab w:val="left" w:pos="0"/>
        </w:tabs>
        <w:spacing w:after="60"/>
        <w:jc w:val="center"/>
        <w:rPr>
          <w:rFonts w:ascii="GHEA Grapalat" w:hAnsi="GHEA Grapalat" w:cs="Calibri"/>
          <w:i/>
          <w:noProof w:val="0"/>
          <w:sz w:val="22"/>
          <w:szCs w:val="22"/>
          <w:lang w:val="af-ZA" w:eastAsia="en-US"/>
        </w:rPr>
      </w:pPr>
      <w:r w:rsidRPr="00CA0534">
        <w:rPr>
          <w:rFonts w:ascii="GHEA Grapalat" w:hAnsi="GHEA Grapalat" w:cs="Calibri"/>
          <w:b/>
          <w:sz w:val="22"/>
          <w:szCs w:val="22"/>
          <w:lang w:val="af-ZA"/>
        </w:rPr>
        <w:t>II. ՄԱՍՆԱԿՑՈՒԹՅԱՆ ԳՈՐԾՈՂ ՊԱՅՄԱՆՆԵՐ</w:t>
      </w:r>
    </w:p>
    <w:p w14:paraId="06D28731" w14:textId="77777777" w:rsidR="00E925BE" w:rsidRPr="00CA0534" w:rsidRDefault="00E925BE" w:rsidP="009C1B36">
      <w:pPr>
        <w:pStyle w:val="a7"/>
        <w:numPr>
          <w:ilvl w:val="0"/>
          <w:numId w:val="2"/>
        </w:numPr>
        <w:ind w:left="270" w:hanging="270"/>
        <w:jc w:val="both"/>
        <w:rPr>
          <w:rFonts w:ascii="GHEA Grapalat" w:hAnsi="GHEA Grapalat" w:cs="Calibri"/>
          <w:sz w:val="22"/>
          <w:szCs w:val="22"/>
        </w:rPr>
      </w:pPr>
      <w:r w:rsidRPr="00CA0534">
        <w:rPr>
          <w:rFonts w:ascii="GHEA Grapalat" w:hAnsi="GHEA Grapalat" w:cs="Calibri"/>
          <w:sz w:val="22"/>
          <w:szCs w:val="22"/>
        </w:rPr>
        <w:t>Նախաորակավորման ընթացակարգին մասնակցելու ցանկություն ունեցող մասնակիցը պետք է համապատասխանի այս հայտարարության և տեխնիկական բնութագրի մեջ ներկայացված պահանջներին։ Մասնակիցը համարվում է այս ենթաբաժնով նախատեսված որակավորման չափանիշներին համապատասխանող, եթե նա ներկայացրել է դիմումում պահանջվող տեղեկատվությունը։</w:t>
      </w:r>
    </w:p>
    <w:p w14:paraId="559917C6" w14:textId="77777777" w:rsidR="00605627" w:rsidRPr="00CA0534" w:rsidRDefault="00605627" w:rsidP="00605627">
      <w:pPr>
        <w:tabs>
          <w:tab w:val="left" w:pos="0"/>
        </w:tabs>
        <w:spacing w:after="60"/>
        <w:rPr>
          <w:rFonts w:ascii="GHEA Grapalat" w:hAnsi="GHEA Grapalat" w:cs="Calibri"/>
          <w:sz w:val="22"/>
          <w:szCs w:val="22"/>
        </w:rPr>
      </w:pPr>
    </w:p>
    <w:p w14:paraId="6D31F0E0" w14:textId="35EBED1D" w:rsidR="00605627" w:rsidRPr="00CA0534" w:rsidRDefault="00E925BE" w:rsidP="00605627">
      <w:pPr>
        <w:tabs>
          <w:tab w:val="left" w:pos="0"/>
        </w:tabs>
        <w:spacing w:after="60"/>
        <w:jc w:val="center"/>
        <w:rPr>
          <w:rFonts w:ascii="GHEA Grapalat" w:hAnsi="GHEA Grapalat" w:cs="Calibri"/>
          <w:b/>
          <w:sz w:val="22"/>
          <w:szCs w:val="22"/>
        </w:rPr>
      </w:pPr>
      <w:r w:rsidRPr="00CA0534">
        <w:rPr>
          <w:rFonts w:ascii="GHEA Grapalat" w:hAnsi="GHEA Grapalat" w:cs="Calibri"/>
          <w:b/>
          <w:sz w:val="22"/>
          <w:szCs w:val="22"/>
          <w:lang w:val="af-ZA"/>
        </w:rPr>
        <w:t xml:space="preserve">III. Ստացման </w:t>
      </w:r>
      <w:r w:rsidR="00F962DB">
        <w:rPr>
          <w:rFonts w:ascii="GHEA Grapalat" w:hAnsi="GHEA Grapalat" w:cs="Calibri"/>
          <w:b/>
          <w:sz w:val="22"/>
          <w:szCs w:val="22"/>
        </w:rPr>
        <w:t>և</w:t>
      </w:r>
      <w:r w:rsidRPr="00CA0534">
        <w:rPr>
          <w:rFonts w:ascii="GHEA Grapalat" w:hAnsi="GHEA Grapalat" w:cs="Calibri"/>
          <w:b/>
          <w:sz w:val="22"/>
          <w:szCs w:val="22"/>
          <w:lang w:val="af-ZA"/>
        </w:rPr>
        <w:t xml:space="preserve"> հայտարարագրման պարզեցում</w:t>
      </w:r>
    </w:p>
    <w:p w14:paraId="2FF2BB6F" w14:textId="77777777" w:rsidR="00E925BE" w:rsidRPr="00CA0534" w:rsidRDefault="00E925BE" w:rsidP="00605627">
      <w:pPr>
        <w:tabs>
          <w:tab w:val="left" w:pos="0"/>
        </w:tabs>
        <w:spacing w:after="60"/>
        <w:jc w:val="center"/>
        <w:rPr>
          <w:rFonts w:ascii="GHEA Grapalat" w:hAnsi="GHEA Grapalat" w:cs="Calibri"/>
          <w:b/>
          <w:sz w:val="22"/>
          <w:szCs w:val="22"/>
        </w:rPr>
      </w:pPr>
      <w:r w:rsidRPr="00CA0534">
        <w:rPr>
          <w:rFonts w:ascii="GHEA Grapalat" w:hAnsi="GHEA Grapalat" w:cs="Calibri"/>
          <w:b/>
          <w:sz w:val="22"/>
          <w:szCs w:val="22"/>
        </w:rPr>
        <w:t>Ինչպես կատարել փոփոխություն</w:t>
      </w:r>
      <w:r w:rsidRPr="00CA0534">
        <w:rPr>
          <w:rFonts w:ascii="GHEA Grapalat" w:hAnsi="GHEA Grapalat" w:cs="Calibri"/>
          <w:sz w:val="22"/>
          <w:szCs w:val="22"/>
          <w:lang w:val="af-ZA"/>
        </w:rPr>
        <w:tab/>
      </w:r>
    </w:p>
    <w:p w14:paraId="1E5DF89B" w14:textId="77777777" w:rsidR="00977635" w:rsidRDefault="00E925BE" w:rsidP="009C1B36">
      <w:pPr>
        <w:pStyle w:val="a7"/>
        <w:numPr>
          <w:ilvl w:val="0"/>
          <w:numId w:val="3"/>
        </w:numPr>
        <w:spacing w:before="120" w:after="120"/>
        <w:ind w:left="274" w:hanging="270"/>
        <w:jc w:val="both"/>
        <w:rPr>
          <w:rFonts w:ascii="GHEA Grapalat" w:hAnsi="GHEA Grapalat" w:cs="Calibri"/>
          <w:sz w:val="22"/>
          <w:szCs w:val="22"/>
        </w:rPr>
      </w:pPr>
      <w:r w:rsidRPr="00CA0534">
        <w:rPr>
          <w:rFonts w:ascii="GHEA Grapalat" w:hAnsi="GHEA Grapalat" w:cs="Calibri"/>
          <w:sz w:val="22"/>
          <w:szCs w:val="22"/>
        </w:rPr>
        <w:t>Մասնակիցն իրավունք ունի հանձնաժողովից նախնական որակավորման հայտարարության պարզաբանում պահանջել նախնական որակավորման հայտերի ներկայացման վերջնաժամկետից առնվազն մեկ աշխատանքային օր առաջ։ Միաժամանակ, պարզաբանումը կարող է պահանջվել մինչև ս.թ.</w:t>
      </w:r>
      <w:r w:rsidR="008B2C05" w:rsidRPr="00CA0534">
        <w:rPr>
          <w:rFonts w:ascii="GHEA Grapalat" w:hAnsi="GHEA Grapalat" w:cs="Calibri"/>
          <w:sz w:val="22"/>
          <w:szCs w:val="22"/>
        </w:rPr>
        <w:t xml:space="preserve"> </w:t>
      </w:r>
      <w:r w:rsidRPr="00977635">
        <w:rPr>
          <w:rFonts w:ascii="GHEA Grapalat" w:hAnsi="GHEA Grapalat" w:cs="Calibri"/>
          <w:sz w:val="22"/>
          <w:szCs w:val="22"/>
        </w:rPr>
        <w:t>17:00</w:t>
      </w:r>
      <w:r w:rsidR="008B2C05" w:rsidRPr="00CA0534">
        <w:rPr>
          <w:rFonts w:ascii="GHEA Grapalat" w:hAnsi="GHEA Grapalat" w:cs="Calibri"/>
          <w:sz w:val="22"/>
          <w:szCs w:val="22"/>
        </w:rPr>
        <w:t xml:space="preserve"> </w:t>
      </w:r>
      <w:r w:rsidRPr="00CA0534">
        <w:rPr>
          <w:rFonts w:ascii="GHEA Grapalat" w:hAnsi="GHEA Grapalat" w:cs="Calibri"/>
          <w:sz w:val="22"/>
          <w:szCs w:val="22"/>
        </w:rPr>
        <w:t>այս կետում նշված օրվա ընթացքում (գործընթացի վայրի ժամանակ): Հանձնաժողովը բացատրությունը տրամադրում է հարցում ներկայացրած մասնակցին հարցումը ստանալու օրվանից հետո մեկ աշխատանքային օրվա ընթացքում, բայց ոչ ուշ, քան ներկայացման վերջնաժամկետից առնվազն 3 ժամ առաջ:</w:t>
      </w:r>
      <w:r w:rsidR="008B2C05" w:rsidRPr="00CA0534">
        <w:rPr>
          <w:rFonts w:ascii="GHEA Grapalat" w:hAnsi="GHEA Grapalat" w:cs="Calibri"/>
          <w:sz w:val="22"/>
          <w:szCs w:val="22"/>
        </w:rPr>
        <w:t xml:space="preserve"> </w:t>
      </w:r>
    </w:p>
    <w:p w14:paraId="0E0D671F" w14:textId="0723067E" w:rsidR="00E925BE" w:rsidRPr="00977635" w:rsidRDefault="00977635" w:rsidP="00977635">
      <w:pPr>
        <w:spacing w:before="120" w:after="120"/>
        <w:ind w:left="274"/>
        <w:jc w:val="both"/>
        <w:rPr>
          <w:rFonts w:ascii="GHEA Grapalat" w:hAnsi="GHEA Grapalat" w:cs="Calibri"/>
          <w:sz w:val="22"/>
          <w:szCs w:val="22"/>
        </w:rPr>
      </w:pPr>
      <w:r w:rsidRPr="00977635">
        <w:rPr>
          <w:rFonts w:ascii="GHEA Grapalat" w:hAnsi="GHEA Grapalat" w:cs="Calibri"/>
          <w:sz w:val="22"/>
          <w:szCs w:val="22"/>
        </w:rPr>
        <w:t>Ն</w:t>
      </w:r>
      <w:r w:rsidR="00E925BE" w:rsidRPr="00977635">
        <w:rPr>
          <w:rFonts w:ascii="GHEA Grapalat" w:hAnsi="GHEA Grapalat" w:cs="Calibri"/>
          <w:sz w:val="22"/>
          <w:szCs w:val="22"/>
        </w:rPr>
        <w:t>ախ</w:t>
      </w:r>
      <w:r>
        <w:rPr>
          <w:rFonts w:ascii="GHEA Grapalat" w:hAnsi="GHEA Grapalat" w:cs="Calibri"/>
          <w:sz w:val="22"/>
          <w:szCs w:val="22"/>
        </w:rPr>
        <w:t>ա</w:t>
      </w:r>
      <w:r w:rsidR="00E925BE" w:rsidRPr="00977635">
        <w:rPr>
          <w:rFonts w:ascii="GHEA Grapalat" w:hAnsi="GHEA Grapalat" w:cs="Calibri"/>
          <w:sz w:val="22"/>
          <w:szCs w:val="22"/>
        </w:rPr>
        <w:t>որակավորման</w:t>
      </w:r>
      <w:r>
        <w:rPr>
          <w:rFonts w:ascii="GHEA Grapalat" w:hAnsi="GHEA Grapalat" w:cs="Calibri"/>
          <w:sz w:val="22"/>
          <w:szCs w:val="22"/>
        </w:rPr>
        <w:t xml:space="preserve"> փուլում</w:t>
      </w:r>
      <w:r w:rsidR="00E925BE" w:rsidRPr="00977635">
        <w:rPr>
          <w:rFonts w:ascii="GHEA Grapalat" w:hAnsi="GHEA Grapalat" w:cs="Calibri"/>
          <w:sz w:val="22"/>
          <w:szCs w:val="22"/>
        </w:rPr>
        <w:t xml:space="preserve"> դիմումներ.</w:t>
      </w:r>
    </w:p>
    <w:p w14:paraId="3339C2EA" w14:textId="77777777" w:rsidR="00E925BE" w:rsidRPr="00CA0534" w:rsidRDefault="00E925BE" w:rsidP="00E925BE">
      <w:pPr>
        <w:spacing w:before="120" w:after="120"/>
        <w:ind w:left="274"/>
        <w:jc w:val="both"/>
        <w:rPr>
          <w:rFonts w:ascii="GHEA Grapalat" w:hAnsi="GHEA Grapalat" w:cs="Calibri"/>
          <w:sz w:val="22"/>
          <w:szCs w:val="22"/>
        </w:rPr>
      </w:pPr>
      <w:r w:rsidRPr="00CA0534">
        <w:rPr>
          <w:rFonts w:ascii="GHEA Grapalat" w:hAnsi="GHEA Grapalat" w:cs="Calibri"/>
          <w:sz w:val="22"/>
          <w:szCs w:val="22"/>
        </w:rPr>
        <w:t>Մասնակիցը ներկայացնում է այս կետում նշված հարցումը՝ այն ուղարկելով հանձնաժողովի քարտուղարի էլեկտրոնային փոստին։</w:t>
      </w:r>
    </w:p>
    <w:p w14:paraId="49F75CC1" w14:textId="77777777" w:rsidR="00E925BE" w:rsidRPr="00CA0534" w:rsidRDefault="00E925BE" w:rsidP="00E925BE">
      <w:pPr>
        <w:spacing w:before="120" w:after="120"/>
        <w:ind w:left="274"/>
        <w:jc w:val="both"/>
        <w:rPr>
          <w:rFonts w:ascii="GHEA Grapalat" w:hAnsi="GHEA Grapalat" w:cs="Calibri"/>
          <w:sz w:val="22"/>
          <w:szCs w:val="22"/>
        </w:rPr>
      </w:pPr>
      <w:r w:rsidRPr="00CA0534">
        <w:rPr>
          <w:rFonts w:ascii="GHEA Grapalat" w:hAnsi="GHEA Grapalat" w:cs="Calibri"/>
          <w:sz w:val="22"/>
          <w:szCs w:val="22"/>
        </w:rPr>
        <w:t>Հարցման վերաբերյալ բացատրությունն ուղարկվում է՝ հարցումը մասնակցի էլեկտրոնային փոստին ուղարկելով հանձնաժողովի քարտուղարի կողմից տրամադրված էլեկտրոնային փոստից։</w:t>
      </w:r>
    </w:p>
    <w:p w14:paraId="31AE3879"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Հարցման բովանդակության և պարզաբանումների մասին հայտարարությունը հրապարակվում է տեղեկագրում պարզաբանումը տրամադրելու օրը՝ առանց նշելու հարցումը կատարած մասնակցի տվյալները։</w:t>
      </w:r>
    </w:p>
    <w:p w14:paraId="03B94411"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Պարզաբանում չի տրամադրվում, եթե հարցումը կատարվել է այս բաժնով սահմանված ժամկետի խախտմամբ, ինչպես նաև եթե հարցումը դուրս է այս հայտարարության բովանդակության շրջանակներից: Ավելին, մասնակցին գրավոր տեղեկացվում է բացատրություն չտրամադրելու պատճառների մասին հարցումը ստանալուց հետո մեկ օրացուցային օրվա ընթացքում:</w:t>
      </w:r>
    </w:p>
    <w:p w14:paraId="7574E5F0"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Այս հայտարարության մեջ փոփոխություններ կարող են կատարվել դիմումների ներկայացման վերջնաժամկետից առնվազն երկու աշխատանքային օր առաջ: Փոփոխությունը կատարելու օրվան հաջորդող առաջին աշխատանքային օրը հանձնաժողովի քարտուղարը փոփոխություն կատարելու մասին հայտարարությունը հրապարակում է տեղեկագրում:</w:t>
      </w:r>
    </w:p>
    <w:p w14:paraId="20A61702"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lang w:val="af-ZA"/>
        </w:rPr>
      </w:pPr>
      <w:r w:rsidRPr="00CA0534">
        <w:rPr>
          <w:rFonts w:ascii="GHEA Grapalat" w:hAnsi="GHEA Grapalat" w:cs="Calibri"/>
          <w:sz w:val="22"/>
          <w:szCs w:val="22"/>
        </w:rPr>
        <w:t>Նախաորակավորման հայտարարության մեջ փոփոխությունների դեպքում նախաորակավորման հայտերի ներկայացման վերջնաժամկետը հաշվարկվում է այդ փոփոխությունների մասին հայտարարության տեղեկագրում հրապարակման օրվանից։</w:t>
      </w:r>
    </w:p>
    <w:p w14:paraId="1ECD7415" w14:textId="77777777" w:rsidR="00E925BE" w:rsidRPr="00CA0534" w:rsidRDefault="00E925BE" w:rsidP="00E925BE">
      <w:pPr>
        <w:jc w:val="both"/>
        <w:rPr>
          <w:rFonts w:ascii="GHEA Grapalat" w:hAnsi="GHEA Grapalat" w:cs="Calibri"/>
          <w:sz w:val="22"/>
          <w:szCs w:val="22"/>
          <w:lang w:val="af-ZA"/>
        </w:rPr>
      </w:pPr>
    </w:p>
    <w:p w14:paraId="4AEB00A0" w14:textId="77777777" w:rsidR="00E925BE" w:rsidRPr="00CA0534" w:rsidRDefault="00E925BE" w:rsidP="00E925BE">
      <w:pPr>
        <w:tabs>
          <w:tab w:val="left" w:pos="0"/>
        </w:tabs>
        <w:spacing w:after="60"/>
        <w:ind w:firstLine="426"/>
        <w:jc w:val="center"/>
        <w:rPr>
          <w:rFonts w:ascii="GHEA Grapalat" w:hAnsi="GHEA Grapalat" w:cs="Calibri"/>
          <w:b/>
          <w:sz w:val="22"/>
          <w:szCs w:val="22"/>
          <w:lang w:val="en-US"/>
        </w:rPr>
      </w:pPr>
      <w:r w:rsidRPr="00CA0534">
        <w:rPr>
          <w:rFonts w:ascii="GHEA Grapalat" w:hAnsi="GHEA Grapalat" w:cs="Calibri"/>
          <w:b/>
          <w:sz w:val="22"/>
          <w:szCs w:val="22"/>
        </w:rPr>
        <w:t>IV. ՆԵՐԿԱՅԱՑՄԱՆ ԴԻՄՈՒՄ ՆԵՐԿԱՅԱՑՆԵԼՈՒ ԿԱՐԳԸ</w:t>
      </w:r>
    </w:p>
    <w:p w14:paraId="3483E067" w14:textId="77777777" w:rsidR="00E925BE" w:rsidRPr="00CA0534" w:rsidRDefault="00E925BE" w:rsidP="009C1B36">
      <w:pPr>
        <w:pStyle w:val="a7"/>
        <w:numPr>
          <w:ilvl w:val="0"/>
          <w:numId w:val="4"/>
        </w:numPr>
        <w:spacing w:before="120" w:after="120"/>
        <w:jc w:val="both"/>
        <w:rPr>
          <w:rFonts w:ascii="GHEA Grapalat" w:hAnsi="GHEA Grapalat" w:cs="Calibri"/>
          <w:sz w:val="22"/>
          <w:szCs w:val="22"/>
          <w:lang w:val="en-US"/>
        </w:rPr>
      </w:pPr>
      <w:r w:rsidRPr="00CA0534">
        <w:rPr>
          <w:rFonts w:ascii="GHEA Grapalat" w:hAnsi="GHEA Grapalat" w:cs="Calibri"/>
          <w:sz w:val="22"/>
          <w:szCs w:val="22"/>
        </w:rPr>
        <w:lastRenderedPageBreak/>
        <w:t>Այս ընթացակարգին մասնակցելու համար մասնակիցը դիմում է ներկայացնում հանձնաժողովին։</w:t>
      </w:r>
    </w:p>
    <w:p w14:paraId="4244A6EF" w14:textId="0A6282B6" w:rsidR="00E925BE" w:rsidRPr="00CA0534" w:rsidRDefault="00E925BE" w:rsidP="009C1B36">
      <w:pPr>
        <w:pStyle w:val="a7"/>
        <w:numPr>
          <w:ilvl w:val="0"/>
          <w:numId w:val="4"/>
        </w:numPr>
        <w:spacing w:before="120" w:after="120"/>
        <w:jc w:val="both"/>
        <w:rPr>
          <w:rFonts w:ascii="GHEA Grapalat" w:hAnsi="GHEA Grapalat" w:cs="Calibri"/>
          <w:sz w:val="22"/>
          <w:szCs w:val="22"/>
        </w:rPr>
      </w:pPr>
      <w:r w:rsidRPr="00CA0534">
        <w:rPr>
          <w:rFonts w:ascii="GHEA Grapalat" w:hAnsi="GHEA Grapalat" w:cs="Calibri"/>
          <w:sz w:val="22"/>
          <w:szCs w:val="22"/>
        </w:rPr>
        <w:t>Մասնակիցը կարող է նախաորակավորման դիմումը հանձնաժողովին ներկայացնել էլեկտրոնային եղանակով՝ գնահատող հանձնաժողովի քարտուղարին ուղղված էլեկտրոնային նամակ ուղարկելով հետևյալ հասցեով</w:t>
      </w:r>
      <w:r w:rsidRPr="00E038F0">
        <w:rPr>
          <w:rFonts w:ascii="GHEA Grapalat" w:hAnsi="GHEA Grapalat" w:cs="Calibri"/>
          <w:sz w:val="22"/>
          <w:szCs w:val="22"/>
          <w:highlight w:val="yellow"/>
        </w:rPr>
        <w:t>՝</w:t>
      </w:r>
      <w:r w:rsidRPr="00E038F0">
        <w:rPr>
          <w:rFonts w:ascii="GHEA Grapalat" w:hAnsi="GHEA Grapalat" w:cs="Calibri"/>
          <w:color w:val="FF0000"/>
          <w:sz w:val="22"/>
          <w:szCs w:val="22"/>
          <w:highlight w:val="yellow"/>
        </w:rPr>
        <w:t xml:space="preserve"> </w:t>
      </w:r>
      <w:r w:rsidR="00E038F0" w:rsidRPr="00E038F0">
        <w:rPr>
          <w:rFonts w:ascii="GHEA Grapalat" w:hAnsi="GHEA Grapalat" w:cs="Calibri"/>
          <w:color w:val="FF0000"/>
          <w:sz w:val="22"/>
          <w:szCs w:val="22"/>
          <w:highlight w:val="yellow"/>
        </w:rPr>
        <w:t xml:space="preserve"> </w:t>
      </w:r>
      <w:hyperlink r:id="rId13" w:history="1">
        <w:r w:rsidR="00F250E3" w:rsidRPr="00E038F0">
          <w:rPr>
            <w:rStyle w:val="af0"/>
            <w:rFonts w:ascii="GHEA Grapalat" w:hAnsi="GHEA Grapalat" w:cs="Calibri"/>
            <w:sz w:val="22"/>
            <w:szCs w:val="22"/>
            <w:highlight w:val="yellow"/>
          </w:rPr>
          <w:t>procurement@epiu.am</w:t>
        </w:r>
      </w:hyperlink>
      <w:r w:rsidR="00E038F0">
        <w:rPr>
          <w:rStyle w:val="af0"/>
          <w:rFonts w:ascii="GHEA Grapalat" w:hAnsi="GHEA Grapalat" w:cs="Calibri"/>
          <w:sz w:val="22"/>
          <w:szCs w:val="22"/>
        </w:rPr>
        <w:t xml:space="preserve">, </w:t>
      </w:r>
      <w:r w:rsidR="00E038F0">
        <w:rPr>
          <w:rStyle w:val="af0"/>
          <w:rFonts w:ascii="GHEA Grapalat" w:hAnsi="GHEA Grapalat" w:cs="Calibri"/>
          <w:sz w:val="22"/>
          <w:szCs w:val="22"/>
          <w:lang w:val="en-US"/>
        </w:rPr>
        <w:t>anna.hakobjan7222@gmail.com</w:t>
      </w:r>
      <w:r w:rsidR="00F250E3" w:rsidRPr="00CA0534">
        <w:rPr>
          <w:rFonts w:ascii="GHEA Grapalat" w:hAnsi="GHEA Grapalat" w:cs="Calibri"/>
          <w:color w:val="FF0000"/>
          <w:sz w:val="22"/>
          <w:szCs w:val="22"/>
        </w:rPr>
        <w:t xml:space="preserve">  </w:t>
      </w:r>
    </w:p>
    <w:p w14:paraId="5EC4FEA8" w14:textId="330F2504" w:rsidR="00E925BE" w:rsidRPr="00CA0534" w:rsidRDefault="00E925BE" w:rsidP="009C1B36">
      <w:pPr>
        <w:pStyle w:val="a7"/>
        <w:numPr>
          <w:ilvl w:val="0"/>
          <w:numId w:val="4"/>
        </w:numPr>
        <w:spacing w:before="120" w:after="120"/>
        <w:jc w:val="both"/>
        <w:rPr>
          <w:rFonts w:ascii="GHEA Grapalat" w:hAnsi="GHEA Grapalat" w:cs="Calibri"/>
          <w:sz w:val="22"/>
          <w:szCs w:val="22"/>
        </w:rPr>
      </w:pPr>
      <w:r w:rsidRPr="00CA0534">
        <w:rPr>
          <w:rFonts w:ascii="GHEA Grapalat" w:hAnsi="GHEA Grapalat" w:cs="Calibri"/>
          <w:sz w:val="22"/>
          <w:szCs w:val="22"/>
        </w:rPr>
        <w:t>Ընթացակարգի դիմումները պետք է ներկայացվեն հանձնաժողովին ոչ ուշ, քան</w:t>
      </w:r>
      <w:r w:rsidR="00843FFA">
        <w:rPr>
          <w:rFonts w:ascii="GHEA Grapalat" w:hAnsi="GHEA Grapalat" w:cs="Calibri"/>
          <w:sz w:val="22"/>
          <w:szCs w:val="22"/>
        </w:rPr>
        <w:t xml:space="preserve"> </w:t>
      </w:r>
      <w:r w:rsidR="00E038F0" w:rsidRPr="00D1403C">
        <w:rPr>
          <w:rFonts w:ascii="GHEA Grapalat" w:hAnsi="GHEA Grapalat" w:cs="Calibri"/>
          <w:color w:val="FF0000"/>
          <w:sz w:val="22"/>
          <w:szCs w:val="22"/>
        </w:rPr>
        <w:t xml:space="preserve">մայիսի </w:t>
      </w:r>
      <w:r w:rsidR="00D1403C" w:rsidRPr="00D1403C">
        <w:rPr>
          <w:rFonts w:ascii="GHEA Grapalat" w:hAnsi="GHEA Grapalat" w:cs="Calibri"/>
          <w:color w:val="FF0000"/>
          <w:sz w:val="22"/>
          <w:szCs w:val="22"/>
        </w:rPr>
        <w:t xml:space="preserve"> 25</w:t>
      </w:r>
      <w:r w:rsidRPr="00D1403C">
        <w:rPr>
          <w:rFonts w:ascii="GHEA Grapalat" w:hAnsi="GHEA Grapalat" w:cs="Calibri"/>
          <w:color w:val="FF0000"/>
          <w:sz w:val="22"/>
          <w:szCs w:val="22"/>
        </w:rPr>
        <w:t>-ին</w:t>
      </w:r>
      <w:r w:rsidRPr="00CA0534">
        <w:rPr>
          <w:rFonts w:ascii="GHEA Grapalat" w:hAnsi="GHEA Grapalat" w:cs="Calibri"/>
          <w:color w:val="FF0000"/>
          <w:sz w:val="22"/>
          <w:szCs w:val="22"/>
        </w:rPr>
        <w:t>, ժամը 1</w:t>
      </w:r>
      <w:r w:rsidR="00D1403C">
        <w:rPr>
          <w:rFonts w:ascii="GHEA Grapalat" w:hAnsi="GHEA Grapalat" w:cs="Calibri"/>
          <w:color w:val="FF0000"/>
          <w:sz w:val="22"/>
          <w:szCs w:val="22"/>
        </w:rPr>
        <w:t>4</w:t>
      </w:r>
      <w:r w:rsidRPr="00CA0534">
        <w:rPr>
          <w:rFonts w:ascii="GHEA Grapalat" w:hAnsi="GHEA Grapalat" w:cs="Calibri"/>
          <w:color w:val="FF0000"/>
          <w:sz w:val="22"/>
          <w:szCs w:val="22"/>
        </w:rPr>
        <w:t>:00-ին</w:t>
      </w:r>
      <w:r w:rsidR="008B2C05" w:rsidRPr="00CA0534">
        <w:rPr>
          <w:rFonts w:ascii="GHEA Grapalat" w:hAnsi="GHEA Grapalat" w:cs="Calibri"/>
          <w:color w:val="FF0000"/>
          <w:sz w:val="22"/>
          <w:szCs w:val="22"/>
        </w:rPr>
        <w:t xml:space="preserve"> </w:t>
      </w:r>
      <w:r w:rsidRPr="00CA0534">
        <w:rPr>
          <w:rFonts w:ascii="GHEA Grapalat" w:hAnsi="GHEA Grapalat" w:cs="Calibri"/>
          <w:sz w:val="22"/>
          <w:szCs w:val="22"/>
        </w:rPr>
        <w:t>։</w:t>
      </w:r>
    </w:p>
    <w:p w14:paraId="466A5915" w14:textId="3AD6A1F2" w:rsidR="00E925BE" w:rsidRPr="00E038F0" w:rsidRDefault="00E925BE" w:rsidP="00E925BE">
      <w:pPr>
        <w:spacing w:before="120" w:after="120"/>
        <w:ind w:left="720"/>
        <w:contextualSpacing/>
        <w:jc w:val="both"/>
        <w:rPr>
          <w:rFonts w:ascii="GHEA Grapalat" w:hAnsi="GHEA Grapalat" w:cs="Calibri"/>
          <w:sz w:val="22"/>
          <w:szCs w:val="22"/>
          <w:highlight w:val="yellow"/>
        </w:rPr>
      </w:pPr>
      <w:r w:rsidRPr="00CA0534">
        <w:rPr>
          <w:rFonts w:ascii="GHEA Grapalat" w:hAnsi="GHEA Grapalat" w:cs="Calibri"/>
          <w:sz w:val="22"/>
          <w:szCs w:val="22"/>
        </w:rPr>
        <w:t>Անհրաժեշտ է նախաորակավորման դիմումները հանձնաժողովին ներկայացնել մինչև այս կետով սահմանված ժամկետի ավարտը՝ ներկայացնել գնահատող հանձնաժողովի քարտուղարին ուղղված էլեկտրոնային փոստով՝</w:t>
      </w:r>
      <w:r w:rsidR="000B56D3">
        <w:rPr>
          <w:rFonts w:ascii="GHEA Grapalat" w:hAnsi="GHEA Grapalat" w:cs="Calibri"/>
          <w:sz w:val="22"/>
          <w:szCs w:val="22"/>
        </w:rPr>
        <w:t xml:space="preserve"> </w:t>
      </w:r>
      <w:hyperlink r:id="rId14" w:history="1">
        <w:r w:rsidRPr="00CA0534">
          <w:rPr>
            <w:rStyle w:val="af0"/>
            <w:rFonts w:ascii="GHEA Grapalat" w:eastAsiaTheme="majorEastAsia" w:hAnsi="GHEA Grapalat" w:cs="Calibri"/>
            <w:sz w:val="22"/>
            <w:szCs w:val="22"/>
          </w:rPr>
          <w:t>procurement@epiu.am</w:t>
        </w:r>
      </w:hyperlink>
      <w:r w:rsidRPr="00CA0534">
        <w:rPr>
          <w:rFonts w:ascii="GHEA Grapalat" w:hAnsi="GHEA Grapalat" w:cs="Calibri"/>
          <w:sz w:val="22"/>
          <w:szCs w:val="22"/>
        </w:rPr>
        <w:t xml:space="preserve"> </w:t>
      </w:r>
      <w:r w:rsidR="00E038F0" w:rsidRPr="00E038F0">
        <w:rPr>
          <w:rFonts w:ascii="GHEA Grapalat" w:hAnsi="GHEA Grapalat" w:cs="Calibri"/>
          <w:sz w:val="22"/>
          <w:szCs w:val="22"/>
        </w:rPr>
        <w:t xml:space="preserve">, </w:t>
      </w:r>
      <w:r w:rsidR="00E038F0" w:rsidRPr="00E038F0">
        <w:rPr>
          <w:rStyle w:val="af0"/>
          <w:rFonts w:ascii="GHEA Grapalat" w:hAnsi="GHEA Grapalat" w:cs="Calibri"/>
          <w:sz w:val="22"/>
          <w:szCs w:val="22"/>
        </w:rPr>
        <w:t>anna.hakobjan7222@gmail.com</w:t>
      </w:r>
      <w:r w:rsidR="00E038F0" w:rsidRPr="00CA0534">
        <w:rPr>
          <w:rFonts w:ascii="GHEA Grapalat" w:hAnsi="GHEA Grapalat" w:cs="Calibri"/>
          <w:color w:val="FF0000"/>
          <w:sz w:val="22"/>
          <w:szCs w:val="22"/>
        </w:rPr>
        <w:t xml:space="preserve">  </w:t>
      </w:r>
    </w:p>
    <w:p w14:paraId="78E8639A" w14:textId="10256565" w:rsidR="00E925BE" w:rsidRPr="00CA0534" w:rsidRDefault="00E925BE" w:rsidP="009C1B36">
      <w:pPr>
        <w:pStyle w:val="a7"/>
        <w:numPr>
          <w:ilvl w:val="0"/>
          <w:numId w:val="4"/>
        </w:numPr>
        <w:spacing w:before="120" w:after="120"/>
        <w:jc w:val="both"/>
        <w:rPr>
          <w:rFonts w:ascii="GHEA Grapalat" w:hAnsi="GHEA Grapalat" w:cs="Calibri"/>
          <w:sz w:val="22"/>
          <w:szCs w:val="22"/>
        </w:rPr>
      </w:pPr>
      <w:r w:rsidRPr="00CA0534">
        <w:rPr>
          <w:rFonts w:ascii="GHEA Grapalat" w:hAnsi="GHEA Grapalat" w:cs="Calibri"/>
          <w:sz w:val="22"/>
          <w:szCs w:val="22"/>
        </w:rPr>
        <w:t>Նախաորակավորման դիմումները ստանում և դիմումների գրանցամատյանում գրանցում է Շրջակա միջավայրի նախարարության «Բնապահպանական ծրագրերի իրականացման գրասենյակ» ՊՀ գործերի կառավարման և գնումների բաժնի առաջ</w:t>
      </w:r>
      <w:r w:rsidR="004D0FE4">
        <w:rPr>
          <w:rFonts w:ascii="GHEA Grapalat" w:hAnsi="GHEA Grapalat" w:cs="Calibri"/>
          <w:sz w:val="22"/>
          <w:szCs w:val="22"/>
        </w:rPr>
        <w:t>ատար</w:t>
      </w:r>
      <w:r w:rsidRPr="00CA0534">
        <w:rPr>
          <w:rFonts w:ascii="GHEA Grapalat" w:hAnsi="GHEA Grapalat" w:cs="Calibri"/>
          <w:sz w:val="22"/>
          <w:szCs w:val="22"/>
        </w:rPr>
        <w:t xml:space="preserve"> մասնագետ</w:t>
      </w:r>
      <w:r w:rsidR="004D0FE4">
        <w:rPr>
          <w:rFonts w:ascii="GHEA Grapalat" w:hAnsi="GHEA Grapalat" w:cs="Calibri"/>
          <w:sz w:val="22"/>
          <w:szCs w:val="22"/>
        </w:rPr>
        <w:t>ի պաշտոնակատար</w:t>
      </w:r>
      <w:r w:rsidRPr="00CA0534">
        <w:rPr>
          <w:rFonts w:ascii="GHEA Grapalat" w:hAnsi="GHEA Grapalat" w:cs="Calibri"/>
          <w:sz w:val="22"/>
          <w:szCs w:val="22"/>
        </w:rPr>
        <w:t xml:space="preserve"> Աննա Հակոբյանը։</w:t>
      </w:r>
    </w:p>
    <w:p w14:paraId="0641F725" w14:textId="77777777" w:rsidR="00E925BE" w:rsidRPr="00CA0534" w:rsidRDefault="00E925BE" w:rsidP="00E925BE">
      <w:pPr>
        <w:spacing w:before="120" w:after="120"/>
        <w:ind w:left="720"/>
        <w:contextualSpacing/>
        <w:jc w:val="both"/>
        <w:rPr>
          <w:rFonts w:ascii="GHEA Grapalat" w:hAnsi="GHEA Grapalat" w:cs="Calibri"/>
          <w:sz w:val="22"/>
          <w:szCs w:val="22"/>
        </w:rPr>
      </w:pPr>
      <w:r w:rsidRPr="00CA0534">
        <w:rPr>
          <w:rFonts w:ascii="GHEA Grapalat" w:hAnsi="GHEA Grapalat" w:cs="Calibri"/>
          <w:sz w:val="22"/>
          <w:szCs w:val="22"/>
        </w:rPr>
        <w:t>Դիմումները գրանցվում են քարտուղարի կողմից գրանցամատյանում՝ ըստ ստացման հերթականության՝ նշելով գրանցման համարը, օրը և ժամը գրանցամատյանում։ Մասնակցի խնդրանքով տրվում է վկայական։ Դիմումների ներկայացման վերջնաժամկետից հետո ներկայացված դիմումները չեն գրանցվում գրանցամատյանում և վերադարձվում են քարտուղարի կողմից ստացման օրվանից հետո երկու աշխատանքային օրվա ընթացքում։</w:t>
      </w:r>
    </w:p>
    <w:p w14:paraId="2BB30502" w14:textId="112BFFA9" w:rsidR="00E925BE" w:rsidRPr="00CA0534" w:rsidRDefault="00E925BE" w:rsidP="009C1B36">
      <w:pPr>
        <w:pStyle w:val="a7"/>
        <w:numPr>
          <w:ilvl w:val="0"/>
          <w:numId w:val="4"/>
        </w:numPr>
        <w:jc w:val="both"/>
        <w:rPr>
          <w:rFonts w:ascii="GHEA Grapalat" w:hAnsi="GHEA Grapalat" w:cs="Calibri"/>
          <w:sz w:val="22"/>
          <w:szCs w:val="22"/>
        </w:rPr>
      </w:pPr>
      <w:r w:rsidRPr="00CA0534">
        <w:rPr>
          <w:rFonts w:ascii="GHEA Grapalat" w:hAnsi="GHEA Grapalat" w:cs="Calibri"/>
          <w:sz w:val="22"/>
          <w:szCs w:val="22"/>
        </w:rPr>
        <w:t xml:space="preserve">Նախաորակավորման </w:t>
      </w:r>
      <w:r w:rsidR="00843FFA">
        <w:rPr>
          <w:rFonts w:ascii="GHEA Grapalat" w:hAnsi="GHEA Grapalat" w:cs="Calibri"/>
          <w:sz w:val="22"/>
          <w:szCs w:val="22"/>
        </w:rPr>
        <w:t>փուլում</w:t>
      </w:r>
      <w:r w:rsidRPr="00CA0534">
        <w:rPr>
          <w:rFonts w:ascii="GHEA Grapalat" w:hAnsi="GHEA Grapalat" w:cs="Calibri"/>
          <w:sz w:val="22"/>
          <w:szCs w:val="22"/>
        </w:rPr>
        <w:t xml:space="preserve"> մասնակիցը ներկայացնում է.</w:t>
      </w:r>
    </w:p>
    <w:p w14:paraId="0DD3EAE8"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1) իր կողմից հաստատված նախնական որակավորման ընթացակարգին մասնակցելու գրավոր դիմում՝ համաձայն N 1 հավելվածի,</w:t>
      </w:r>
    </w:p>
    <w:p w14:paraId="15E77D35"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2) իր կողմից հաստատված հայտարարություն՝ համաձայն N 2 հավելվածի՝ սույն հայտարարությամբ սահմանված «Մասնագիտական գործունեության համապատասխանությունը պայմանագրով նախատեսված գործունեությանը» որակավորման չափանիշի պահանջներին համապատասխանության մասին,</w:t>
      </w:r>
    </w:p>
    <w:p w14:paraId="6CBB1332"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3) ֆիզիկական անձ մասնակիցները ներկայացնում են նաև տվյալ անձի կողմից հաստատված ինքնակենսագրություն (CV):</w:t>
      </w:r>
    </w:p>
    <w:p w14:paraId="5FDC672A"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4) համատեղ գործունեության պայմանագրի պատճենը, եթե մասնակիցները մասնակցում են այս ընթացակարգին որպես համատեղ գործունեություն (կոնսորցիում):</w:t>
      </w:r>
    </w:p>
    <w:p w14:paraId="1E7556ED" w14:textId="77777777" w:rsidR="00E925BE" w:rsidRPr="00CA0534" w:rsidRDefault="00E925BE" w:rsidP="009C1B36">
      <w:pPr>
        <w:pStyle w:val="a7"/>
        <w:numPr>
          <w:ilvl w:val="0"/>
          <w:numId w:val="4"/>
        </w:numPr>
        <w:spacing w:before="120" w:after="120"/>
        <w:contextualSpacing w:val="0"/>
        <w:jc w:val="both"/>
        <w:rPr>
          <w:rFonts w:ascii="GHEA Grapalat" w:hAnsi="GHEA Grapalat" w:cs="Calibri"/>
          <w:sz w:val="22"/>
          <w:szCs w:val="22"/>
        </w:rPr>
      </w:pPr>
      <w:r w:rsidRPr="00CA0534">
        <w:rPr>
          <w:rFonts w:ascii="GHEA Grapalat" w:hAnsi="GHEA Grapalat" w:cs="Calibri"/>
          <w:sz w:val="22"/>
          <w:szCs w:val="22"/>
        </w:rPr>
        <w:t>Նախաորակավորման դիմումները, բացի հայերենից, կարող են ներկայացվել նաև անգլերեն կամ ռուսերեն լեզուներով։</w:t>
      </w:r>
    </w:p>
    <w:p w14:paraId="16949532" w14:textId="1A58CF19" w:rsidR="00E925BE" w:rsidRPr="00CA0534" w:rsidRDefault="00E925BE" w:rsidP="009C1B36">
      <w:pPr>
        <w:pStyle w:val="a7"/>
        <w:numPr>
          <w:ilvl w:val="0"/>
          <w:numId w:val="4"/>
        </w:numPr>
        <w:spacing w:before="120" w:after="120"/>
        <w:contextualSpacing w:val="0"/>
        <w:jc w:val="both"/>
        <w:rPr>
          <w:rFonts w:ascii="GHEA Grapalat" w:hAnsi="GHEA Grapalat" w:cs="Calibri"/>
          <w:sz w:val="22"/>
          <w:szCs w:val="22"/>
        </w:rPr>
      </w:pPr>
      <w:r w:rsidRPr="00CA0534">
        <w:rPr>
          <w:rFonts w:ascii="GHEA Grapalat" w:hAnsi="GHEA Grapalat" w:cs="Calibri"/>
          <w:sz w:val="22"/>
          <w:szCs w:val="22"/>
        </w:rPr>
        <w:t>Սույն հայտարարության համաձայն մասնակցի կողմից կազմված փաստաթղթերը ստորագրվում են դրանք ներկայացնող անձի կամ վերջինիս լիազորված անձի (այսուհետ՝ գործակալ) կողմից։ Եթե նախաորակավորման դիմումը ներկայացնում է գործակալը, ապա դիմումի հետ միասին ներկայացվում է փաստաթուղթ, որը հաստատում է, որ վերջինիս տրվել է այդ լիազորությունը։ Անհրաժեշտության դեպքում մասնակիցը կարող է պահանջվող տեղեկատվությունը ներկայացնել սույն հայտարարությամբ առաջարկվող եղանակներից տարբերվող այլ եղանակներով՝ պահպանելով պահանջվող վավերականության պայմանները։</w:t>
      </w:r>
    </w:p>
    <w:p w14:paraId="5D2C637F" w14:textId="77777777" w:rsidR="00E925BE" w:rsidRPr="00CA0534" w:rsidRDefault="00E925BE" w:rsidP="00E925BE">
      <w:pPr>
        <w:ind w:firstLine="567"/>
        <w:jc w:val="center"/>
        <w:rPr>
          <w:rFonts w:ascii="GHEA Grapalat" w:hAnsi="GHEA Grapalat" w:cs="Calibri"/>
          <w:sz w:val="22"/>
          <w:szCs w:val="22"/>
        </w:rPr>
      </w:pPr>
    </w:p>
    <w:p w14:paraId="0AF1F228" w14:textId="77777777" w:rsidR="00E925BE" w:rsidRPr="00CA0534" w:rsidRDefault="00E925BE" w:rsidP="00E925BE">
      <w:pPr>
        <w:spacing w:line="360" w:lineRule="auto"/>
        <w:ind w:firstLine="567"/>
        <w:jc w:val="center"/>
        <w:rPr>
          <w:rFonts w:ascii="GHEA Grapalat" w:hAnsi="GHEA Grapalat" w:cs="Calibri"/>
          <w:b/>
          <w:sz w:val="22"/>
          <w:szCs w:val="22"/>
          <w:lang w:val="af-ZA"/>
        </w:rPr>
      </w:pPr>
      <w:r w:rsidRPr="00CA0534">
        <w:rPr>
          <w:rFonts w:ascii="GHEA Grapalat" w:hAnsi="GHEA Grapalat" w:cs="Calibri"/>
          <w:b/>
          <w:sz w:val="22"/>
          <w:szCs w:val="22"/>
          <w:lang w:val="af-ZA"/>
        </w:rPr>
        <w:t>V. ԲԱՑՈՒՄ, ԳՆԱՀԱՏՈՒՄ ԵՎ ԱՐԴՅՈՒՆՔՆԵՐԻ ԱՄՓՈՓՈՒՄ</w:t>
      </w:r>
    </w:p>
    <w:p w14:paraId="7EE39509" w14:textId="4B74343E" w:rsidR="00E925BE" w:rsidRPr="00CA0534" w:rsidRDefault="00E925BE" w:rsidP="009C1B36">
      <w:pPr>
        <w:pStyle w:val="norm"/>
        <w:numPr>
          <w:ilvl w:val="0"/>
          <w:numId w:val="5"/>
        </w:numPr>
        <w:spacing w:before="12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lastRenderedPageBreak/>
        <w:t>Նախաորակավորման հայտերի բացումը, գնահատումը և արդյունքների ամփոփումը կատարվում է նախաորակավորման հայտերի բացման նիստում՝ ս.թ</w:t>
      </w:r>
      <w:r w:rsidR="00D1403C" w:rsidRPr="00D1403C">
        <w:rPr>
          <w:rFonts w:ascii="GHEA Grapalat" w:hAnsi="GHEA Grapalat" w:cs="Calibri"/>
          <w:color w:val="FF0000"/>
          <w:szCs w:val="22"/>
        </w:rPr>
        <w:t xml:space="preserve"> </w:t>
      </w:r>
      <w:r w:rsidR="00D1403C" w:rsidRPr="00D1403C">
        <w:rPr>
          <w:rFonts w:ascii="GHEA Grapalat" w:hAnsi="GHEA Grapalat" w:cs="Calibri"/>
          <w:color w:val="FF0000"/>
          <w:szCs w:val="22"/>
        </w:rPr>
        <w:t>մայիսի  25-ին</w:t>
      </w:r>
      <w:r w:rsidR="00D1403C" w:rsidRPr="00CA0534">
        <w:rPr>
          <w:rFonts w:ascii="GHEA Grapalat" w:hAnsi="GHEA Grapalat" w:cs="Calibri"/>
          <w:color w:val="FF0000"/>
          <w:szCs w:val="22"/>
        </w:rPr>
        <w:t>, ժամը 1</w:t>
      </w:r>
      <w:r w:rsidR="00D1403C">
        <w:rPr>
          <w:rFonts w:ascii="GHEA Grapalat" w:hAnsi="GHEA Grapalat" w:cs="Calibri"/>
          <w:color w:val="FF0000"/>
          <w:szCs w:val="22"/>
        </w:rPr>
        <w:t>4</w:t>
      </w:r>
      <w:r w:rsidR="00D1403C" w:rsidRPr="00CA0534">
        <w:rPr>
          <w:rFonts w:ascii="GHEA Grapalat" w:hAnsi="GHEA Grapalat" w:cs="Calibri"/>
          <w:color w:val="FF0000"/>
          <w:szCs w:val="22"/>
        </w:rPr>
        <w:t>:00-ին</w:t>
      </w:r>
      <w:bookmarkStart w:id="0" w:name="_GoBack"/>
      <w:bookmarkEnd w:id="0"/>
      <w:r w:rsidRPr="00CA0534">
        <w:rPr>
          <w:rFonts w:ascii="GHEA Grapalat" w:hAnsi="GHEA Grapalat" w:cs="Calibri"/>
          <w:szCs w:val="22"/>
          <w:lang w:val="af-ZA"/>
        </w:rPr>
        <w:t xml:space="preserve">, </w:t>
      </w:r>
      <w:r w:rsidRPr="00CA0534">
        <w:rPr>
          <w:rFonts w:ascii="GHEA Grapalat" w:hAnsi="GHEA Grapalat" w:cs="Calibri"/>
          <w:szCs w:val="22"/>
        </w:rPr>
        <w:t>Երևան</w:t>
      </w:r>
      <w:r w:rsidRPr="00CA0534">
        <w:rPr>
          <w:rFonts w:ascii="GHEA Grapalat" w:hAnsi="GHEA Grapalat" w:cs="Calibri"/>
          <w:szCs w:val="22"/>
          <w:lang w:val="af-ZA"/>
        </w:rPr>
        <w:t xml:space="preserve">, </w:t>
      </w:r>
      <w:r w:rsidRPr="00CA0534">
        <w:rPr>
          <w:rFonts w:ascii="GHEA Grapalat" w:hAnsi="GHEA Grapalat" w:cs="Calibri"/>
          <w:szCs w:val="22"/>
        </w:rPr>
        <w:t>Տիգրան</w:t>
      </w:r>
      <w:r w:rsidRPr="00CA0534">
        <w:rPr>
          <w:rFonts w:ascii="GHEA Grapalat" w:hAnsi="GHEA Grapalat" w:cs="Calibri"/>
          <w:szCs w:val="22"/>
          <w:lang w:val="af-ZA"/>
        </w:rPr>
        <w:t xml:space="preserve"> </w:t>
      </w:r>
      <w:r w:rsidRPr="00CA0534">
        <w:rPr>
          <w:rFonts w:ascii="GHEA Grapalat" w:hAnsi="GHEA Grapalat" w:cs="Calibri"/>
          <w:szCs w:val="22"/>
        </w:rPr>
        <w:t>Մեծ</w:t>
      </w:r>
      <w:r w:rsidRPr="00CA0534">
        <w:rPr>
          <w:rFonts w:ascii="GHEA Grapalat" w:hAnsi="GHEA Grapalat" w:cs="Calibri"/>
          <w:szCs w:val="22"/>
          <w:lang w:val="af-ZA"/>
        </w:rPr>
        <w:t xml:space="preserve"> 65</w:t>
      </w:r>
      <w:r w:rsidRPr="00CA0534">
        <w:rPr>
          <w:rFonts w:ascii="GHEA Grapalat" w:hAnsi="GHEA Grapalat" w:cs="Calibri"/>
          <w:szCs w:val="22"/>
        </w:rPr>
        <w:t>Ա։</w:t>
      </w:r>
    </w:p>
    <w:p w14:paraId="7BD9766C" w14:textId="77777777" w:rsidR="00E925BE" w:rsidRPr="00CA0534" w:rsidRDefault="00E925BE" w:rsidP="009C1B36">
      <w:pPr>
        <w:pStyle w:val="norm"/>
        <w:numPr>
          <w:ilvl w:val="0"/>
          <w:numId w:val="5"/>
        </w:numPr>
        <w:spacing w:before="12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Նախաորակավորման հայտերի բացման և գնահատման նիստում՝</w:t>
      </w:r>
    </w:p>
    <w:p w14:paraId="60A10CB0" w14:textId="77777777" w:rsidR="00E925BE" w:rsidRPr="00CA0534" w:rsidRDefault="00E925BE" w:rsidP="009C1B36">
      <w:pPr>
        <w:pStyle w:val="norm"/>
        <w:numPr>
          <w:ilvl w:val="1"/>
          <w:numId w:val="6"/>
        </w:numPr>
        <w:spacing w:before="120" w:after="120" w:line="240" w:lineRule="auto"/>
        <w:ind w:left="994" w:hanging="274"/>
        <w:rPr>
          <w:rFonts w:ascii="GHEA Grapalat" w:hAnsi="GHEA Grapalat" w:cs="Calibri"/>
          <w:szCs w:val="22"/>
          <w:lang w:val="af-ZA" w:eastAsia="en-US"/>
        </w:rPr>
      </w:pPr>
      <w:r w:rsidRPr="00CA0534">
        <w:rPr>
          <w:rFonts w:ascii="GHEA Grapalat" w:hAnsi="GHEA Grapalat" w:cs="Calibri"/>
          <w:szCs w:val="22"/>
          <w:lang w:val="af-ZA" w:eastAsia="en-US"/>
        </w:rPr>
        <w:t>հանձնաժողովի քարտուղարը տեղեկատվություն է տրամադրում գրանցամատյանում կատարված գրառումների մասին և հանձնաժողովի նախագահին է փոխանցում դիմումների գրանցամատյանը, դրա անբաժանելի մասը կազմող այլ փաստաթղթերը, գրանցված դիմումները։</w:t>
      </w:r>
    </w:p>
    <w:p w14:paraId="2C6D46A7" w14:textId="2078B609" w:rsidR="00E925BE" w:rsidRPr="003615A1" w:rsidRDefault="00E925BE" w:rsidP="00791D71">
      <w:pPr>
        <w:pStyle w:val="norm"/>
        <w:numPr>
          <w:ilvl w:val="1"/>
          <w:numId w:val="6"/>
        </w:numPr>
        <w:spacing w:before="120" w:after="120" w:line="240" w:lineRule="auto"/>
        <w:ind w:left="990" w:firstLine="0"/>
        <w:rPr>
          <w:rFonts w:ascii="GHEA Grapalat" w:hAnsi="GHEA Grapalat" w:cs="Calibri"/>
          <w:szCs w:val="22"/>
          <w:lang w:val="af-ZA" w:eastAsia="en-US"/>
        </w:rPr>
      </w:pPr>
      <w:r w:rsidRPr="003615A1">
        <w:rPr>
          <w:rFonts w:ascii="GHEA Grapalat" w:hAnsi="GHEA Grapalat" w:cs="Calibri"/>
          <w:szCs w:val="22"/>
          <w:lang w:val="af-ZA" w:eastAsia="en-US"/>
        </w:rPr>
        <w:t>Սույն կետի 1-ին ենթակետում նշված փաստաթղթերը նախագահին (նիստի նախագահին) փոխանցելուց հետո հանձնաժողովը գնահատում է.</w:t>
      </w:r>
      <w:r w:rsidR="003615A1">
        <w:rPr>
          <w:rFonts w:ascii="GHEA Grapalat" w:hAnsi="GHEA Grapalat" w:cs="Calibri"/>
          <w:szCs w:val="22"/>
          <w:lang w:val="hy-AM" w:eastAsia="en-US"/>
        </w:rPr>
        <w:t xml:space="preserve"> </w:t>
      </w:r>
      <w:r w:rsidRPr="003615A1">
        <w:rPr>
          <w:rFonts w:ascii="GHEA Grapalat" w:hAnsi="GHEA Grapalat" w:cs="Calibri"/>
          <w:szCs w:val="22"/>
          <w:lang w:val="af-ZA" w:eastAsia="en-US"/>
        </w:rPr>
        <w:t>պահանջվող (նախատեսված) փաստաթղթերի առկայությունը և դրանց կազմման համապատասխանությունը այս հայտարարությամբ սահմանված վավերականության պայմաններին։</w:t>
      </w:r>
    </w:p>
    <w:p w14:paraId="773C3DA6" w14:textId="77777777"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Այս հայտարարության մեջ նշված պայմաններին համապատասխանող առաջարկները համարվում են բավարար։ Հակառակ դեպքում, նախնական որակավորման հայտերը գնահատվում են որպես անբավարար և մերժվում։</w:t>
      </w:r>
    </w:p>
    <w:p w14:paraId="5D15F700" w14:textId="77777777" w:rsidR="00E925BE" w:rsidRPr="00CA0534" w:rsidRDefault="00E925BE" w:rsidP="00E925BE">
      <w:pPr>
        <w:pStyle w:val="norm"/>
        <w:spacing w:line="240" w:lineRule="auto"/>
        <w:ind w:left="720" w:hanging="14"/>
        <w:rPr>
          <w:rFonts w:ascii="GHEA Grapalat" w:hAnsi="GHEA Grapalat" w:cs="Calibri"/>
          <w:szCs w:val="22"/>
          <w:lang w:val="af-ZA" w:eastAsia="en-US"/>
        </w:rPr>
      </w:pPr>
      <w:r w:rsidRPr="00CA0534">
        <w:rPr>
          <w:rFonts w:ascii="GHEA Grapalat" w:hAnsi="GHEA Grapalat" w:cs="Calibri"/>
          <w:szCs w:val="22"/>
          <w:lang w:val="af-ZA" w:eastAsia="en-US"/>
        </w:rPr>
        <w:t>Եթե նախաորակավորման հայտերի բացման նիստի ընթացքում անցկացված գնահատման արդյունքում մասնակցի դիմումում արձանագրվում են անհամապատասխանություններ այս հայտարարության պահանջների հետ, հանձնաժողովը մեկ աշխատանքային օրով կասեցնում է նիստը, և հանձնաժողովի քարտուղարը նույն օրը էլեկտրոնային եղանակով տեղեկացնում է մասնակցին՝ առաջարկելով շտկել այն կասեցման ժամկետի ավարտից առաջ։ Ավելին, այս կետում նշված է՝</w:t>
      </w:r>
    </w:p>
    <w:p w14:paraId="2EB191D8" w14:textId="77777777" w:rsidR="00E925BE" w:rsidRPr="00CA0534" w:rsidRDefault="00E925BE" w:rsidP="00C807CC">
      <w:pPr>
        <w:pStyle w:val="norm"/>
        <w:numPr>
          <w:ilvl w:val="0"/>
          <w:numId w:val="7"/>
        </w:numPr>
        <w:spacing w:line="240" w:lineRule="auto"/>
        <w:rPr>
          <w:rFonts w:ascii="GHEA Grapalat" w:hAnsi="GHEA Grapalat" w:cs="Calibri"/>
          <w:szCs w:val="22"/>
          <w:lang w:val="af-ZA" w:eastAsia="en-US"/>
        </w:rPr>
      </w:pPr>
      <w:r w:rsidRPr="00CA0534">
        <w:rPr>
          <w:rFonts w:ascii="GHEA Grapalat" w:hAnsi="GHEA Grapalat" w:cs="Calibri"/>
          <w:szCs w:val="22"/>
          <w:lang w:val="af-ZA" w:eastAsia="en-US"/>
        </w:rPr>
        <w:t>արձանագրված անհամապատասխանությունները պետք է մանրամասն նկարագրվեն առաջարկի մեջ։</w:t>
      </w:r>
    </w:p>
    <w:p w14:paraId="6D34D2F3" w14:textId="77777777" w:rsidR="00E925BE" w:rsidRPr="00CA0534" w:rsidRDefault="00E925BE" w:rsidP="00C807CC">
      <w:pPr>
        <w:pStyle w:val="norm"/>
        <w:numPr>
          <w:ilvl w:val="0"/>
          <w:numId w:val="7"/>
        </w:numPr>
        <w:spacing w:line="240" w:lineRule="auto"/>
        <w:rPr>
          <w:rFonts w:ascii="GHEA Grapalat" w:hAnsi="GHEA Grapalat" w:cs="Calibri"/>
          <w:szCs w:val="22"/>
          <w:lang w:val="af-ZA" w:eastAsia="en-US"/>
        </w:rPr>
      </w:pPr>
      <w:r w:rsidRPr="00CA0534">
        <w:rPr>
          <w:rFonts w:ascii="GHEA Grapalat" w:hAnsi="GHEA Grapalat" w:cs="Calibri"/>
          <w:szCs w:val="22"/>
          <w:lang w:val="af-ZA" w:eastAsia="en-US"/>
        </w:rPr>
        <w:t>Առաջարկը մասնակցին ուղարկվում է՝ այն այս հայտարարության մեջ նշված քարտուղարի էլեկտրոնային փոստի հասցեից ուղարկելով մասնակցի դիմումում նշված էլեկտրոնային փոստի հասցեին։</w:t>
      </w:r>
    </w:p>
    <w:p w14:paraId="1E8D990F" w14:textId="27F0890F"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Եթե մասնակիցը նշված ժամկետում ուղղում է արձանագրված անհամապատասխանությունը, ապա վերջինիս դիմումը համարվում է բավարար։ Հակառակ դեպքում դիմումը գնահատվում է անբավարար և մերժվում։ Մասնակիցը ուղղված փաստաթղթերը ներկայացնում է այս ընթացակարգին մասնակցելու դիմումում նշված էլեկտրոնային հասցեից՝ ուղարկելով դրանք հանձնաժողովի քարտուղարի էլեկտրոնային հասցեին, ինչպես նշված է սույն հայտարարության մեջ։</w:t>
      </w:r>
    </w:p>
    <w:p w14:paraId="393593C4" w14:textId="77777777"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Հանձնաժողովի անդամը կամ քարտուղարը չեն կարող մասնակցել հանձնաժողովի աշխատանքներին, եթե նախաորակավորման հայտերի բացման նիստում պարզվի, որ իրենց կողմից հիմնադրված կամ որում իրենք ունեն բաժնեմաս (բաժնեմաս), կամ նրանց հետ մտերիմ ազգակցական կամ խնամիական կապով կապված անձը (ծնող, ամուսին, երեխա, եղբայր, քույր), ինչպես նաև ամուսնու ծնողը, երեխան, եղբայրը կամ քույրը) կամ այդ անձի կողմից հիմնադրված կամ բաժնեմաս (բաժնեմաս) ունեցող կազմակերպությունը ներկայացրել է տվյալ ընթացակարգին մասնակցելու դիմում: Եթե առկա է այս կետով սահմանված պայմանը, նախաորակավորման հայտերի բացման նիստից անմիջապես հետո հանձնաժողովի անդամը կամ քարտուղարը, որը շահերի բախում ունի այս ընթացակարգի հետ կապված, դուրս է գալիս ընթացակարգից:</w:t>
      </w:r>
    </w:p>
    <w:p w14:paraId="57728C56" w14:textId="77777777"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lastRenderedPageBreak/>
        <w:t>Դիմումների բացման, գնահատման և արդյունքների ամփոփման վերաբերյալ կազմվում է արձանագրություն, որը նաև հաստատում է նախնական որակավորում անցած մասնակիցների ցուցակը: Հանձնաժողովի քարտուղարը մինչև դիմումների գնահատման նիստի ավարտից հետո աշխատանքային օրը ներառյալ:</w:t>
      </w:r>
    </w:p>
    <w:p w14:paraId="607E99AE" w14:textId="77777777" w:rsidR="00E925BE" w:rsidRPr="00CA0534" w:rsidRDefault="00E925BE" w:rsidP="009C1B36">
      <w:pPr>
        <w:pStyle w:val="norm"/>
        <w:numPr>
          <w:ilvl w:val="1"/>
          <w:numId w:val="5"/>
        </w:numPr>
        <w:spacing w:before="240" w:after="120" w:line="240" w:lineRule="auto"/>
        <w:ind w:left="1080"/>
        <w:rPr>
          <w:rFonts w:ascii="GHEA Grapalat" w:hAnsi="GHEA Grapalat" w:cs="Calibri"/>
          <w:szCs w:val="22"/>
          <w:lang w:val="af-ZA" w:eastAsia="en-US"/>
        </w:rPr>
      </w:pPr>
      <w:r w:rsidRPr="00CA0534">
        <w:rPr>
          <w:rFonts w:ascii="GHEA Grapalat" w:hAnsi="GHEA Grapalat" w:cs="Calibri"/>
          <w:szCs w:val="22"/>
          <w:lang w:val="af-ZA" w:eastAsia="en-US"/>
        </w:rPr>
        <w:t>տեղեկագրում հրապարակում է շահերի բախման բացակայության մասին իր և հայտերի բացման նիստին ներկա հանձնաժողովի անդամների կողմից ստորագրված հայտարարությունների տպագիր (սկանավորված) տարբերակները։</w:t>
      </w:r>
    </w:p>
    <w:p w14:paraId="73DA8B43" w14:textId="77777777" w:rsidR="00E925BE" w:rsidRPr="00CA0534" w:rsidRDefault="00E925BE" w:rsidP="009C1B36">
      <w:pPr>
        <w:pStyle w:val="norm"/>
        <w:numPr>
          <w:ilvl w:val="1"/>
          <w:numId w:val="5"/>
        </w:numPr>
        <w:spacing w:line="240" w:lineRule="auto"/>
        <w:ind w:left="1080"/>
        <w:rPr>
          <w:rFonts w:ascii="GHEA Grapalat" w:hAnsi="GHEA Grapalat" w:cs="Calibri"/>
          <w:szCs w:val="22"/>
          <w:lang w:val="af-ZA" w:eastAsia="en-US"/>
        </w:rPr>
      </w:pPr>
      <w:r w:rsidRPr="00CA0534">
        <w:rPr>
          <w:rFonts w:ascii="GHEA Grapalat" w:hAnsi="GHEA Grapalat" w:cs="Calibri"/>
          <w:szCs w:val="22"/>
          <w:lang w:val="af-ZA" w:eastAsia="en-US"/>
        </w:rPr>
        <w:t>էլեկտրոնային եղանակով տեղեկացնում է այն մասնակիցներին, որոնք ներկայացրել են սույն հայտարարությամբ նախատեսված պայմաններին անբավարար գնահատված առաջարկներ, նախաորակավորման առաջարկների մերժման հիմքերի մասին։</w:t>
      </w:r>
    </w:p>
    <w:p w14:paraId="221D8E7D" w14:textId="0F525876" w:rsidR="00E925BE" w:rsidRPr="00CA0534" w:rsidRDefault="00E925BE" w:rsidP="009C1B36">
      <w:pPr>
        <w:pStyle w:val="norm"/>
        <w:numPr>
          <w:ilvl w:val="0"/>
          <w:numId w:val="5"/>
        </w:numPr>
        <w:spacing w:before="240" w:after="120" w:line="240" w:lineRule="auto"/>
        <w:rPr>
          <w:rFonts w:ascii="GHEA Grapalat" w:hAnsi="GHEA Grapalat" w:cs="Calibri"/>
          <w:szCs w:val="22"/>
          <w:lang w:val="af-ZA"/>
        </w:rPr>
      </w:pPr>
      <w:r w:rsidRPr="00CA0534">
        <w:rPr>
          <w:rFonts w:ascii="GHEA Grapalat" w:hAnsi="GHEA Grapalat" w:cs="Calibri"/>
          <w:szCs w:val="22"/>
          <w:lang w:val="af-ZA" w:eastAsia="en-US"/>
        </w:rPr>
        <w:t>Նախաորակավորված մասնակիցները իրավունք ունեն հետագա մասնակցության գնման գործընթացին։</w:t>
      </w:r>
    </w:p>
    <w:p w14:paraId="62F022B5" w14:textId="77777777" w:rsidR="00E925BE" w:rsidRPr="00CA0534" w:rsidRDefault="00E925BE" w:rsidP="00E925BE">
      <w:pPr>
        <w:pStyle w:val="af3"/>
        <w:jc w:val="center"/>
        <w:rPr>
          <w:rFonts w:ascii="GHEA Grapalat" w:hAnsi="GHEA Grapalat" w:cs="Calibri"/>
          <w:sz w:val="22"/>
          <w:szCs w:val="22"/>
          <w:lang w:val="af-ZA"/>
        </w:rPr>
      </w:pPr>
    </w:p>
    <w:p w14:paraId="317056AB" w14:textId="77777777" w:rsidR="00E925BE" w:rsidRPr="00CA0534" w:rsidRDefault="00E925BE" w:rsidP="00E925BE">
      <w:pPr>
        <w:pStyle w:val="af3"/>
        <w:jc w:val="center"/>
        <w:rPr>
          <w:rFonts w:ascii="GHEA Grapalat" w:hAnsi="GHEA Grapalat" w:cs="Calibri"/>
          <w:i/>
          <w:sz w:val="22"/>
          <w:szCs w:val="22"/>
          <w:lang w:val="af-ZA"/>
        </w:rPr>
      </w:pPr>
      <w:r w:rsidRPr="00CA0534">
        <w:rPr>
          <w:rFonts w:ascii="GHEA Grapalat" w:hAnsi="GHEA Grapalat" w:cs="Calibri"/>
          <w:i/>
          <w:sz w:val="22"/>
          <w:szCs w:val="22"/>
          <w:lang w:val="af-ZA"/>
        </w:rPr>
        <w:t>Այս հայտարարության վերաբերյալ լրացուցիչ տեղեկություններ ստանալու համար կարող եք կապ հաստատել հանձնաժողովի քարտուղար Աննա Հակոբյանի հետ։</w:t>
      </w:r>
    </w:p>
    <w:p w14:paraId="3DB99A97" w14:textId="77777777" w:rsidR="00E925BE" w:rsidRPr="00CA0534" w:rsidRDefault="00E925BE" w:rsidP="00E925BE">
      <w:pPr>
        <w:pStyle w:val="af3"/>
        <w:jc w:val="center"/>
        <w:rPr>
          <w:rFonts w:ascii="GHEA Grapalat" w:hAnsi="GHEA Grapalat" w:cs="Calibri"/>
          <w:i/>
          <w:sz w:val="22"/>
          <w:szCs w:val="22"/>
          <w:lang w:val="af-ZA"/>
        </w:rPr>
      </w:pPr>
      <w:r w:rsidRPr="00CA0534">
        <w:rPr>
          <w:rFonts w:ascii="GHEA Grapalat" w:hAnsi="GHEA Grapalat" w:cs="Calibri"/>
          <w:i/>
          <w:sz w:val="22"/>
          <w:szCs w:val="22"/>
          <w:lang w:val="af-ZA"/>
        </w:rPr>
        <w:t>Հեռ</w:t>
      </w:r>
      <w:r w:rsidRPr="00CA0534">
        <w:rPr>
          <w:rFonts w:ascii="Cambria Math" w:hAnsi="Cambria Math" w:cs="Cambria Math"/>
          <w:i/>
          <w:sz w:val="22"/>
          <w:szCs w:val="22"/>
          <w:lang w:val="af-ZA"/>
        </w:rPr>
        <w:t>․</w:t>
      </w:r>
      <w:r w:rsidRPr="00CA0534">
        <w:rPr>
          <w:rFonts w:ascii="GHEA Grapalat" w:hAnsi="GHEA Grapalat" w:cs="Calibri"/>
          <w:i/>
          <w:sz w:val="22"/>
          <w:szCs w:val="22"/>
          <w:lang w:val="af-ZA"/>
        </w:rPr>
        <w:t xml:space="preserve"> +</w:t>
      </w:r>
      <w:r w:rsidRPr="00CA0534">
        <w:rPr>
          <w:rStyle w:val="afa"/>
          <w:rFonts w:ascii="GHEA Grapalat" w:eastAsiaTheme="majorEastAsia" w:hAnsi="GHEA Grapalat" w:cs="Calibri"/>
          <w:sz w:val="22"/>
          <w:szCs w:val="22"/>
          <w:lang w:val="af-ZA"/>
        </w:rPr>
        <w:t>010 651631</w:t>
      </w:r>
    </w:p>
    <w:p w14:paraId="1C2E75E3" w14:textId="637D43A9" w:rsidR="00E925BE" w:rsidRPr="00CA0534" w:rsidRDefault="00E925BE" w:rsidP="00E925BE">
      <w:pPr>
        <w:pStyle w:val="af3"/>
        <w:jc w:val="center"/>
        <w:rPr>
          <w:rFonts w:ascii="GHEA Grapalat" w:hAnsi="GHEA Grapalat" w:cs="Calibri"/>
          <w:i/>
          <w:sz w:val="22"/>
          <w:szCs w:val="22"/>
          <w:u w:val="single"/>
          <w:lang w:val="af-ZA"/>
        </w:rPr>
      </w:pPr>
      <w:r w:rsidRPr="00CA0534">
        <w:rPr>
          <w:rFonts w:ascii="GHEA Grapalat" w:hAnsi="GHEA Grapalat" w:cs="Calibri"/>
          <w:i/>
          <w:sz w:val="22"/>
          <w:szCs w:val="22"/>
          <w:lang w:val="af-ZA"/>
        </w:rPr>
        <w:t>Էլ</w:t>
      </w:r>
      <w:r w:rsidRPr="00CA0534">
        <w:rPr>
          <w:rFonts w:ascii="Cambria Math" w:hAnsi="Cambria Math" w:cs="Cambria Math"/>
          <w:i/>
          <w:sz w:val="22"/>
          <w:szCs w:val="22"/>
          <w:lang w:val="af-ZA"/>
        </w:rPr>
        <w:t>․</w:t>
      </w:r>
      <w:r w:rsidRPr="00CA0534">
        <w:rPr>
          <w:rFonts w:ascii="GHEA Grapalat" w:hAnsi="GHEA Grapalat" w:cs="Calibri"/>
          <w:i/>
          <w:sz w:val="22"/>
          <w:szCs w:val="22"/>
          <w:lang w:val="af-ZA"/>
        </w:rPr>
        <w:t xml:space="preserve"> </w:t>
      </w:r>
      <w:r w:rsidRPr="00CA0534">
        <w:rPr>
          <w:rFonts w:ascii="GHEA Grapalat" w:hAnsi="GHEA Grapalat" w:cs="GHEA Grapalat"/>
          <w:i/>
          <w:sz w:val="22"/>
          <w:szCs w:val="22"/>
          <w:lang w:val="af-ZA"/>
        </w:rPr>
        <w:t>փոստ</w:t>
      </w:r>
      <w:r w:rsidR="00843FFA">
        <w:rPr>
          <w:rFonts w:ascii="GHEA Grapalat" w:hAnsi="GHEA Grapalat" w:cs="GHEA Grapalat"/>
          <w:i/>
          <w:sz w:val="22"/>
          <w:szCs w:val="22"/>
        </w:rPr>
        <w:t xml:space="preserve"> </w:t>
      </w:r>
      <w:hyperlink r:id="rId15" w:history="1">
        <w:r w:rsidR="00843FFA" w:rsidRPr="00CA0534">
          <w:rPr>
            <w:rStyle w:val="af0"/>
            <w:rFonts w:ascii="GHEA Grapalat" w:eastAsiaTheme="majorEastAsia" w:hAnsi="GHEA Grapalat" w:cs="Calibri"/>
            <w:sz w:val="22"/>
            <w:szCs w:val="22"/>
          </w:rPr>
          <w:t>procurement@epiu.am</w:t>
        </w:r>
      </w:hyperlink>
      <w:r w:rsidR="00F33C03">
        <w:rPr>
          <w:rStyle w:val="af0"/>
          <w:rFonts w:ascii="GHEA Grapalat" w:eastAsiaTheme="majorEastAsia" w:hAnsi="GHEA Grapalat" w:cs="Calibri"/>
          <w:sz w:val="22"/>
          <w:szCs w:val="22"/>
        </w:rPr>
        <w:t xml:space="preserve"> , </w:t>
      </w:r>
      <w:r w:rsidR="00F33C03" w:rsidRPr="00F33C03">
        <w:rPr>
          <w:rStyle w:val="af0"/>
          <w:rFonts w:ascii="GHEA Grapalat" w:hAnsi="GHEA Grapalat" w:cs="Calibri"/>
          <w:sz w:val="22"/>
          <w:szCs w:val="22"/>
          <w:lang w:val="af-ZA"/>
        </w:rPr>
        <w:t>anna.hakobjan7222@gmail.com</w:t>
      </w:r>
      <w:r w:rsidR="00F33C03" w:rsidRPr="00CA0534">
        <w:rPr>
          <w:rFonts w:ascii="GHEA Grapalat" w:hAnsi="GHEA Grapalat" w:cs="Calibri"/>
          <w:color w:val="FF0000"/>
          <w:sz w:val="22"/>
          <w:szCs w:val="22"/>
        </w:rPr>
        <w:t xml:space="preserve">  </w:t>
      </w:r>
    </w:p>
    <w:p w14:paraId="3D6D33EC" w14:textId="77777777" w:rsidR="00E925BE" w:rsidRPr="00CA0534" w:rsidRDefault="00E925BE" w:rsidP="00E925BE">
      <w:pPr>
        <w:pStyle w:val="norm"/>
        <w:spacing w:line="240" w:lineRule="auto"/>
        <w:ind w:firstLine="284"/>
        <w:jc w:val="center"/>
        <w:rPr>
          <w:rFonts w:ascii="GHEA Grapalat" w:hAnsi="GHEA Grapalat" w:cs="Calibri"/>
          <w:szCs w:val="22"/>
          <w:lang w:val="af-ZA" w:eastAsia="en-US"/>
        </w:rPr>
      </w:pPr>
      <w:r w:rsidRPr="00CA0534">
        <w:rPr>
          <w:rFonts w:ascii="GHEA Grapalat" w:hAnsi="GHEA Grapalat" w:cs="Calibri"/>
          <w:szCs w:val="22"/>
          <w:lang w:val="af-ZA" w:eastAsia="en-US"/>
        </w:rPr>
        <w:t>Պատվիրատու՝ «Շրջակա միջավայրի ծրագրերի իրականացման ստորաբաժանում» ՍՊԸ</w:t>
      </w:r>
    </w:p>
    <w:p w14:paraId="216DAFE4"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0801786D"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3B75A2B9"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2AF064BB"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63552562"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54881D6E" w14:textId="77777777" w:rsidR="00E925BE" w:rsidRPr="00CA0534" w:rsidRDefault="00E925BE" w:rsidP="00E925BE">
      <w:pPr>
        <w:pStyle w:val="norm"/>
        <w:spacing w:line="240" w:lineRule="auto"/>
        <w:ind w:firstLine="0"/>
        <w:rPr>
          <w:rFonts w:ascii="GHEA Grapalat" w:hAnsi="GHEA Grapalat" w:cs="Calibri"/>
          <w:szCs w:val="22"/>
          <w:lang w:val="af-ZA" w:eastAsia="en-US"/>
        </w:rPr>
      </w:pPr>
    </w:p>
    <w:p w14:paraId="04DDF655"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523FC789"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73D6B67F"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0F241D47" w14:textId="77777777" w:rsidR="00E925BE" w:rsidRPr="00CA0534" w:rsidRDefault="00E925BE" w:rsidP="00E925BE">
      <w:pPr>
        <w:rPr>
          <w:rFonts w:ascii="GHEA Grapalat" w:hAnsi="GHEA Grapalat" w:cs="Calibri"/>
          <w:noProof w:val="0"/>
          <w:sz w:val="22"/>
          <w:szCs w:val="22"/>
          <w:lang w:val="af-ZA" w:eastAsia="en-US"/>
        </w:rPr>
        <w:sectPr w:rsidR="00E925BE" w:rsidRPr="00CA0534" w:rsidSect="00E925BE">
          <w:footerReference w:type="default" r:id="rId16"/>
          <w:pgSz w:w="11906" w:h="16838"/>
          <w:pgMar w:top="1008" w:right="926" w:bottom="630" w:left="1627" w:header="720" w:footer="144" w:gutter="0"/>
          <w:cols w:space="720"/>
        </w:sectPr>
      </w:pPr>
    </w:p>
    <w:p w14:paraId="7783D913" w14:textId="77777777" w:rsidR="00E925BE" w:rsidRPr="00CA0534" w:rsidRDefault="00E925BE" w:rsidP="00E925BE">
      <w:pPr>
        <w:jc w:val="right"/>
        <w:rPr>
          <w:rFonts w:ascii="GHEA Grapalat" w:hAnsi="GHEA Grapalat" w:cs="Calibri"/>
          <w:sz w:val="22"/>
          <w:szCs w:val="22"/>
          <w:lang w:val="es-ES"/>
        </w:rPr>
      </w:pPr>
      <w:r w:rsidRPr="00CA0534">
        <w:rPr>
          <w:rFonts w:ascii="GHEA Grapalat" w:hAnsi="GHEA Grapalat" w:cs="Calibri"/>
          <w:sz w:val="22"/>
          <w:szCs w:val="22"/>
          <w:lang w:val="es-ES"/>
        </w:rPr>
        <w:lastRenderedPageBreak/>
        <w:t>Հավելված N 1</w:t>
      </w:r>
    </w:p>
    <w:p w14:paraId="182B9528" w14:textId="2AF5B72C" w:rsidR="00E925BE" w:rsidRPr="00CA0534" w:rsidRDefault="00E925BE" w:rsidP="00E925BE">
      <w:pPr>
        <w:jc w:val="right"/>
        <w:rPr>
          <w:rFonts w:ascii="GHEA Grapalat" w:hAnsi="GHEA Grapalat" w:cs="Calibri"/>
          <w:sz w:val="22"/>
          <w:szCs w:val="22"/>
        </w:rPr>
      </w:pPr>
      <w:r w:rsidRPr="00CA0534">
        <w:rPr>
          <w:rFonts w:ascii="GHEA Grapalat" w:hAnsi="GHEA Grapalat" w:cs="Calibri"/>
          <w:sz w:val="22"/>
          <w:szCs w:val="22"/>
          <w:lang w:val="es-ES"/>
        </w:rPr>
        <w:t>Բաց մրցույթի կոդ</w:t>
      </w:r>
      <w:r w:rsidR="00615F76">
        <w:rPr>
          <w:rFonts w:ascii="GHEA Grapalat" w:hAnsi="GHEA Grapalat" w:cs="Calibri"/>
          <w:sz w:val="22"/>
          <w:szCs w:val="22"/>
          <w:lang w:val="es-ES"/>
        </w:rPr>
        <w:t xml:space="preserve"> </w:t>
      </w:r>
      <w:r w:rsidR="001A277D" w:rsidRPr="003737F9">
        <w:rPr>
          <w:rStyle w:val="afa"/>
          <w:rFonts w:ascii="GHEA Grapalat" w:eastAsiaTheme="majorEastAsia" w:hAnsi="GHEA Grapalat" w:cs="Calibri"/>
          <w:sz w:val="22"/>
          <w:szCs w:val="22"/>
        </w:rPr>
        <w:t>ՀՀ-ԲԾ-Ա-ԲՄԽԾՁԲ-</w:t>
      </w:r>
      <w:r w:rsidR="00615F76" w:rsidRPr="003737F9">
        <w:rPr>
          <w:rStyle w:val="afa"/>
          <w:rFonts w:ascii="GHEA Grapalat" w:eastAsiaTheme="majorEastAsia" w:hAnsi="GHEA Grapalat" w:cs="Calibri"/>
          <w:sz w:val="22"/>
          <w:szCs w:val="22"/>
          <w:lang w:val="es-ES"/>
        </w:rPr>
        <w:t>2</w:t>
      </w:r>
      <w:r w:rsidR="003737F9" w:rsidRPr="003737F9">
        <w:rPr>
          <w:rStyle w:val="afa"/>
          <w:rFonts w:ascii="GHEA Grapalat" w:eastAsiaTheme="majorEastAsia" w:hAnsi="GHEA Grapalat" w:cs="Calibri"/>
          <w:sz w:val="22"/>
          <w:szCs w:val="22"/>
        </w:rPr>
        <w:t>6</w:t>
      </w:r>
      <w:r w:rsidR="003737F9">
        <w:rPr>
          <w:rStyle w:val="afa"/>
          <w:rFonts w:ascii="GHEA Grapalat" w:eastAsiaTheme="majorEastAsia" w:hAnsi="GHEA Grapalat" w:cs="Calibri"/>
          <w:sz w:val="22"/>
          <w:szCs w:val="22"/>
        </w:rPr>
        <w:t>/2</w:t>
      </w:r>
      <w:r w:rsidR="0052628B">
        <w:rPr>
          <w:rStyle w:val="afa"/>
          <w:rFonts w:ascii="GHEA Grapalat" w:eastAsiaTheme="majorEastAsia" w:hAnsi="GHEA Grapalat" w:cs="Calibri"/>
          <w:sz w:val="22"/>
          <w:szCs w:val="22"/>
        </w:rPr>
        <w:t>9</w:t>
      </w:r>
      <w:r w:rsidR="001A277D" w:rsidRPr="00CA0534">
        <w:rPr>
          <w:rStyle w:val="afa"/>
          <w:rFonts w:ascii="GHEA Grapalat" w:eastAsiaTheme="majorEastAsia" w:hAnsi="GHEA Grapalat"/>
          <w:lang w:val="af-ZA"/>
        </w:rPr>
        <w:t xml:space="preserve">     </w:t>
      </w:r>
      <w:r w:rsidR="001A277D" w:rsidRPr="00CA0534">
        <w:rPr>
          <w:rFonts w:ascii="GHEA Grapalat" w:hAnsi="GHEA Grapalat" w:cs="Calibri"/>
          <w:sz w:val="22"/>
          <w:szCs w:val="22"/>
        </w:rPr>
        <w:t xml:space="preserve"> </w:t>
      </w:r>
    </w:p>
    <w:p w14:paraId="5B05DEB2" w14:textId="77777777" w:rsidR="00E925BE" w:rsidRPr="00CA0534" w:rsidRDefault="00E925BE" w:rsidP="00E925BE">
      <w:pPr>
        <w:jc w:val="right"/>
        <w:rPr>
          <w:rFonts w:ascii="GHEA Grapalat" w:hAnsi="GHEA Grapalat" w:cs="Calibri"/>
          <w:b/>
          <w:sz w:val="22"/>
          <w:szCs w:val="22"/>
          <w:lang w:eastAsia="en-US"/>
        </w:rPr>
      </w:pPr>
      <w:r w:rsidRPr="00CA0534">
        <w:rPr>
          <w:rFonts w:ascii="GHEA Grapalat" w:hAnsi="GHEA Grapalat" w:cs="Calibri"/>
          <w:sz w:val="22"/>
          <w:szCs w:val="22"/>
          <w:lang w:val="es-ES"/>
        </w:rPr>
        <w:t xml:space="preserve">  նախնական որակավորման ընթացակարգի հայտարարություն</w:t>
      </w:r>
    </w:p>
    <w:p w14:paraId="0B3D313A" w14:textId="77777777" w:rsidR="00E925BE" w:rsidRPr="00CA0534" w:rsidRDefault="00E925BE" w:rsidP="00E925BE">
      <w:pPr>
        <w:jc w:val="center"/>
        <w:rPr>
          <w:rFonts w:ascii="GHEA Grapalat" w:hAnsi="GHEA Grapalat" w:cs="Calibri"/>
          <w:b/>
          <w:sz w:val="22"/>
          <w:szCs w:val="22"/>
          <w:lang w:val="es-ES"/>
        </w:rPr>
      </w:pPr>
    </w:p>
    <w:p w14:paraId="45963A63" w14:textId="77777777" w:rsidR="00E925BE" w:rsidRPr="00CA0534" w:rsidRDefault="00E925BE" w:rsidP="00E925BE">
      <w:pPr>
        <w:jc w:val="center"/>
        <w:rPr>
          <w:rFonts w:ascii="GHEA Grapalat" w:hAnsi="GHEA Grapalat" w:cs="Calibri"/>
          <w:b/>
          <w:sz w:val="22"/>
          <w:szCs w:val="22"/>
          <w:lang w:val="es-ES"/>
        </w:rPr>
      </w:pPr>
      <w:r w:rsidRPr="00CA0534">
        <w:rPr>
          <w:rFonts w:ascii="GHEA Grapalat" w:hAnsi="GHEA Grapalat" w:cs="Calibri"/>
          <w:b/>
          <w:sz w:val="22"/>
          <w:szCs w:val="22"/>
          <w:lang w:val="es-ES"/>
        </w:rPr>
        <w:t>ԴԻՄՈՒՄ</w:t>
      </w:r>
    </w:p>
    <w:p w14:paraId="2F4ACA46" w14:textId="77777777" w:rsidR="00E925BE" w:rsidRPr="00CA0534" w:rsidRDefault="00E925BE" w:rsidP="00E925BE">
      <w:pPr>
        <w:jc w:val="center"/>
        <w:rPr>
          <w:rFonts w:ascii="GHEA Grapalat" w:hAnsi="GHEA Grapalat" w:cs="Calibri"/>
          <w:b/>
          <w:sz w:val="22"/>
          <w:szCs w:val="22"/>
          <w:lang w:val="es-ES"/>
        </w:rPr>
      </w:pPr>
      <w:r w:rsidRPr="00CA0534">
        <w:rPr>
          <w:rFonts w:ascii="GHEA Grapalat" w:hAnsi="GHEA Grapalat" w:cs="Calibri"/>
          <w:b/>
          <w:sz w:val="22"/>
          <w:szCs w:val="22"/>
          <w:lang w:val="es-ES"/>
        </w:rPr>
        <w:t>մասնակցելու նախնական որակավորման ընթացակարգին</w:t>
      </w:r>
    </w:p>
    <w:p w14:paraId="633E9EE4" w14:textId="77777777" w:rsidR="00E925BE" w:rsidRPr="00CA0534" w:rsidRDefault="00E925BE" w:rsidP="00E925BE">
      <w:pPr>
        <w:jc w:val="center"/>
        <w:rPr>
          <w:rFonts w:ascii="GHEA Grapalat" w:hAnsi="GHEA Grapalat" w:cs="Calibri"/>
          <w:sz w:val="22"/>
          <w:szCs w:val="22"/>
          <w:lang w:val="es-ES"/>
        </w:rPr>
      </w:pPr>
    </w:p>
    <w:p w14:paraId="74628B42" w14:textId="77777777" w:rsidR="00E925BE" w:rsidRPr="00CA0534" w:rsidRDefault="00E925BE" w:rsidP="00E925BE">
      <w:pPr>
        <w:jc w:val="both"/>
        <w:rPr>
          <w:rFonts w:ascii="GHEA Grapalat" w:hAnsi="GHEA Grapalat" w:cs="Calibri"/>
          <w:sz w:val="22"/>
          <w:szCs w:val="22"/>
          <w:lang w:val="es-ES" w:eastAsia="en-US"/>
        </w:rPr>
      </w:pPr>
      <w:r w:rsidRPr="00CA0534">
        <w:rPr>
          <w:rFonts w:ascii="GHEA Grapalat" w:hAnsi="GHEA Grapalat" w:cs="Calibri"/>
          <w:sz w:val="22"/>
          <w:szCs w:val="22"/>
          <w:u w:val="single"/>
          <w:lang w:val="es-ES"/>
        </w:rPr>
        <w:t xml:space="preserve">                                                             </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t xml:space="preserve">       </w:t>
      </w:r>
      <w:r w:rsidRPr="00CA0534">
        <w:rPr>
          <w:rFonts w:ascii="GHEA Grapalat" w:hAnsi="GHEA Grapalat" w:cs="Calibri"/>
          <w:sz w:val="22"/>
          <w:szCs w:val="22"/>
          <w:lang w:val="es-ES"/>
        </w:rPr>
        <w:t>իր ցանկությունն է հայտնում մասնակցելու</w:t>
      </w:r>
    </w:p>
    <w:p w14:paraId="03855B8A"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2E157AA6" w14:textId="25F1D13A"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Շրջակա միջավայրի նախարարության «Շրջակա միջավայրի ծրագրերի իրականացման գրասենյակ» ՊՀ-ն ներկայացնում է հայտ՝ համաձայն բաց մրցույթի ն</w:t>
      </w:r>
      <w:r w:rsidR="00F05AAD">
        <w:rPr>
          <w:rFonts w:ascii="GHEA Grapalat" w:hAnsi="GHEA Grapalat" w:cs="Calibri"/>
          <w:sz w:val="22"/>
          <w:szCs w:val="22"/>
          <w:lang w:val="es-ES"/>
        </w:rPr>
        <w:t xml:space="preserve">ախնական որակավորման ընթացակարգի </w:t>
      </w:r>
      <w:r w:rsidRPr="00CA0534">
        <w:rPr>
          <w:rFonts w:ascii="GHEA Grapalat" w:hAnsi="GHEA Grapalat" w:cs="Calibri"/>
          <w:sz w:val="22"/>
          <w:szCs w:val="22"/>
          <w:lang w:val="es-ES"/>
        </w:rPr>
        <w:t>կոդի ներքո</w:t>
      </w:r>
      <w:r w:rsidR="0074382B">
        <w:rPr>
          <w:rFonts w:ascii="GHEA Grapalat" w:hAnsi="GHEA Grapalat" w:cs="Calibri"/>
          <w:sz w:val="22"/>
          <w:szCs w:val="22"/>
          <w:lang w:val="es-ES"/>
        </w:rPr>
        <w:t xml:space="preserve"> </w:t>
      </w:r>
      <w:r w:rsidR="001A277D" w:rsidRPr="003737F9">
        <w:rPr>
          <w:rStyle w:val="afa"/>
          <w:rFonts w:ascii="GHEA Grapalat" w:eastAsiaTheme="majorEastAsia" w:hAnsi="GHEA Grapalat" w:cs="Calibri"/>
          <w:sz w:val="22"/>
          <w:szCs w:val="22"/>
        </w:rPr>
        <w:t>ՀՀ-ԲԾ-Ա-ԲՄԽԾՁԲ-2</w:t>
      </w:r>
      <w:r w:rsidR="003737F9">
        <w:rPr>
          <w:rStyle w:val="afa"/>
          <w:rFonts w:ascii="GHEA Grapalat" w:eastAsiaTheme="majorEastAsia" w:hAnsi="GHEA Grapalat" w:cs="Calibri"/>
          <w:sz w:val="22"/>
          <w:szCs w:val="22"/>
        </w:rPr>
        <w:t>6/2</w:t>
      </w:r>
      <w:r w:rsidR="0052628B">
        <w:rPr>
          <w:rStyle w:val="afa"/>
          <w:rFonts w:ascii="GHEA Grapalat" w:eastAsiaTheme="majorEastAsia" w:hAnsi="GHEA Grapalat" w:cs="Calibri"/>
          <w:sz w:val="22"/>
          <w:szCs w:val="22"/>
        </w:rPr>
        <w:t>9</w:t>
      </w:r>
      <w:r w:rsidR="001A277D" w:rsidRPr="00CA0534">
        <w:rPr>
          <w:rStyle w:val="afa"/>
          <w:rFonts w:ascii="GHEA Grapalat" w:eastAsiaTheme="majorEastAsia" w:hAnsi="GHEA Grapalat"/>
          <w:lang w:val="af-ZA"/>
        </w:rPr>
        <w:t xml:space="preserve"> </w:t>
      </w:r>
      <w:r w:rsidRPr="00CA0534">
        <w:rPr>
          <w:rFonts w:ascii="GHEA Grapalat" w:hAnsi="GHEA Grapalat" w:cs="Calibri"/>
          <w:sz w:val="22"/>
          <w:szCs w:val="22"/>
          <w:lang w:val="es-ES"/>
        </w:rPr>
        <w:t>և նախնական որակավորման հայտարարության պահանջները։</w:t>
      </w:r>
    </w:p>
    <w:p w14:paraId="090F1105"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u w:val="single"/>
          <w:lang w:val="es-ES"/>
        </w:rPr>
        <w:t xml:space="preserve"> </w:t>
      </w:r>
    </w:p>
    <w:p w14:paraId="220C90B6"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571849D1"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________             </w:t>
      </w:r>
      <w:r w:rsidRPr="00CA0534">
        <w:rPr>
          <w:rFonts w:ascii="GHEA Grapalat" w:hAnsi="GHEA Grapalat" w:cs="Calibri"/>
          <w:sz w:val="22"/>
          <w:szCs w:val="22"/>
          <w:lang w:val="es-ES"/>
        </w:rPr>
        <w:t xml:space="preserve">Հարկ վճարողի գրանցման համարը  </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59D4BD80" w14:textId="77777777" w:rsidR="00E925BE" w:rsidRPr="00CA0534" w:rsidRDefault="00E925BE" w:rsidP="00E925BE">
      <w:pPr>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 xml:space="preserve">          Մասնակցի հարկ վճարողի գրանցման համարի անվանումը</w:t>
      </w:r>
    </w:p>
    <w:p w14:paraId="5176CAE4" w14:textId="77777777" w:rsidR="00E925BE" w:rsidRPr="00CA0534" w:rsidRDefault="00E925BE" w:rsidP="00E925BE">
      <w:pPr>
        <w:jc w:val="both"/>
        <w:rPr>
          <w:rFonts w:ascii="GHEA Grapalat" w:hAnsi="GHEA Grapalat" w:cs="Calibri"/>
          <w:sz w:val="22"/>
          <w:szCs w:val="22"/>
          <w:vertAlign w:val="superscript"/>
          <w:lang w:val="es-ES"/>
        </w:rPr>
      </w:pPr>
    </w:p>
    <w:p w14:paraId="55525C2D" w14:textId="77777777" w:rsidR="00E925BE" w:rsidRPr="00CA0534" w:rsidRDefault="00E925BE" w:rsidP="00E925BE">
      <w:pPr>
        <w:jc w:val="both"/>
        <w:rPr>
          <w:rFonts w:ascii="GHEA Grapalat" w:hAnsi="GHEA Grapalat" w:cs="Calibri"/>
          <w:sz w:val="22"/>
          <w:szCs w:val="22"/>
          <w:lang w:val="es-ES"/>
        </w:rPr>
      </w:pPr>
    </w:p>
    <w:p w14:paraId="53A711E6"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                  </w:t>
      </w:r>
      <w:r w:rsidRPr="00CA0534">
        <w:rPr>
          <w:rFonts w:ascii="GHEA Grapalat" w:hAnsi="GHEA Grapalat" w:cs="Calibri"/>
          <w:sz w:val="22"/>
          <w:szCs w:val="22"/>
          <w:lang w:val="es-ES"/>
        </w:rPr>
        <w:t xml:space="preserve">  էլեկտրոնային փոստի հասցե</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4B667F71"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vertAlign w:val="superscript"/>
          <w:lang w:val="es-ES"/>
        </w:rPr>
        <w:t xml:space="preserve">                 Մասնակցի անունը, էլ. փոստը</w:t>
      </w:r>
    </w:p>
    <w:p w14:paraId="3633F88E" w14:textId="77777777" w:rsidR="00E925BE" w:rsidRPr="00CA0534" w:rsidRDefault="00E925BE" w:rsidP="00E925BE">
      <w:pPr>
        <w:jc w:val="right"/>
        <w:rPr>
          <w:rFonts w:ascii="GHEA Grapalat" w:hAnsi="GHEA Grapalat" w:cs="Calibri"/>
          <w:sz w:val="22"/>
          <w:szCs w:val="22"/>
          <w:lang w:val="es-ES"/>
        </w:rPr>
      </w:pPr>
    </w:p>
    <w:p w14:paraId="02D325A6" w14:textId="77777777" w:rsidR="00E925BE" w:rsidRPr="00CA0534" w:rsidRDefault="00E925BE" w:rsidP="00E925BE">
      <w:pPr>
        <w:jc w:val="right"/>
        <w:rPr>
          <w:rFonts w:ascii="GHEA Grapalat" w:hAnsi="GHEA Grapalat" w:cs="Calibri"/>
          <w:sz w:val="22"/>
          <w:szCs w:val="22"/>
          <w:lang w:val="es-ES"/>
        </w:rPr>
      </w:pPr>
    </w:p>
    <w:p w14:paraId="7957FE69" w14:textId="77777777" w:rsidR="00E925BE" w:rsidRPr="00CA0534" w:rsidRDefault="00E925BE" w:rsidP="00E925BE">
      <w:pPr>
        <w:jc w:val="right"/>
        <w:rPr>
          <w:rFonts w:ascii="GHEA Grapalat" w:hAnsi="GHEA Grapalat" w:cs="Calibri"/>
          <w:sz w:val="22"/>
          <w:szCs w:val="22"/>
          <w:lang w:val="es-ES"/>
        </w:rPr>
      </w:pPr>
    </w:p>
    <w:p w14:paraId="3FC7E953" w14:textId="77777777" w:rsidR="00E925BE" w:rsidRPr="00CA0534" w:rsidRDefault="00E925BE" w:rsidP="00E925BE">
      <w:pPr>
        <w:jc w:val="right"/>
        <w:rPr>
          <w:rFonts w:ascii="GHEA Grapalat" w:hAnsi="GHEA Grapalat" w:cs="Calibri"/>
          <w:sz w:val="22"/>
          <w:szCs w:val="22"/>
          <w:lang w:val="es-ES"/>
        </w:rPr>
      </w:pPr>
    </w:p>
    <w:p w14:paraId="734EE433"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34956A92"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                    </w:t>
      </w:r>
      <w:r w:rsidRPr="00CA0534">
        <w:rPr>
          <w:rFonts w:ascii="GHEA Grapalat" w:hAnsi="GHEA Grapalat" w:cs="Calibri"/>
          <w:sz w:val="22"/>
          <w:szCs w:val="22"/>
          <w:lang w:val="es-ES"/>
        </w:rPr>
        <w:t>հեռախոս</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63262832"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vertAlign w:val="superscript"/>
          <w:lang w:val="es-ES"/>
        </w:rPr>
        <w:t xml:space="preserve">              Մասնակցի անունը, ազգանունը, հեռ.</w:t>
      </w:r>
    </w:p>
    <w:p w14:paraId="49E0F91B" w14:textId="77777777" w:rsidR="00E925BE" w:rsidRPr="00CA0534" w:rsidRDefault="00E925BE" w:rsidP="00E925BE">
      <w:pPr>
        <w:jc w:val="right"/>
        <w:rPr>
          <w:rFonts w:ascii="GHEA Grapalat" w:hAnsi="GHEA Grapalat" w:cs="Calibri"/>
          <w:sz w:val="22"/>
          <w:szCs w:val="22"/>
          <w:lang w:val="es-ES"/>
        </w:rPr>
      </w:pPr>
    </w:p>
    <w:p w14:paraId="56C14CB6" w14:textId="77777777" w:rsidR="00E925BE" w:rsidRPr="00CA0534" w:rsidRDefault="00E925BE" w:rsidP="00E925BE">
      <w:pPr>
        <w:jc w:val="both"/>
        <w:rPr>
          <w:rFonts w:ascii="GHEA Grapalat" w:hAnsi="GHEA Grapalat" w:cs="Calibri"/>
          <w:sz w:val="22"/>
          <w:szCs w:val="22"/>
          <w:lang w:val="es-ES"/>
        </w:rPr>
      </w:pPr>
    </w:p>
    <w:p w14:paraId="50A8BC08" w14:textId="77777777" w:rsidR="00E925BE" w:rsidRPr="00CA0534" w:rsidRDefault="00E925BE" w:rsidP="00E925BE">
      <w:pPr>
        <w:jc w:val="both"/>
        <w:rPr>
          <w:rFonts w:ascii="GHEA Grapalat" w:hAnsi="GHEA Grapalat" w:cs="Calibri"/>
          <w:sz w:val="22"/>
          <w:szCs w:val="22"/>
          <w:lang w:val="es-ES"/>
        </w:rPr>
      </w:pPr>
    </w:p>
    <w:p w14:paraId="7442578B" w14:textId="77777777" w:rsidR="00E925BE" w:rsidRPr="00CA0534" w:rsidRDefault="00E925BE" w:rsidP="00E925BE">
      <w:pPr>
        <w:jc w:val="both"/>
        <w:rPr>
          <w:rFonts w:ascii="GHEA Grapalat" w:hAnsi="GHEA Grapalat" w:cs="Calibri"/>
          <w:sz w:val="22"/>
          <w:szCs w:val="22"/>
          <w:lang w:val="es-ES"/>
        </w:rPr>
      </w:pPr>
    </w:p>
    <w:p w14:paraId="30256B21" w14:textId="77777777" w:rsidR="00E925BE" w:rsidRPr="00CA0534" w:rsidRDefault="00E925BE" w:rsidP="00E925BE">
      <w:pPr>
        <w:jc w:val="both"/>
        <w:rPr>
          <w:rFonts w:ascii="GHEA Grapalat" w:hAnsi="GHEA Grapalat" w:cs="Calibri"/>
          <w:sz w:val="22"/>
          <w:szCs w:val="22"/>
          <w:lang w:val="es-ES"/>
        </w:rPr>
      </w:pPr>
    </w:p>
    <w:p w14:paraId="268B9FBD"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rPr>
        <w:t>___________________________________________</w:t>
      </w:r>
      <w:r w:rsidRPr="00CA0534">
        <w:rPr>
          <w:rFonts w:ascii="GHEA Grapalat" w:hAnsi="GHEA Grapalat" w:cs="Calibri"/>
          <w:sz w:val="22"/>
          <w:szCs w:val="22"/>
        </w:rPr>
        <w:tab/>
        <w:t xml:space="preserve">                _____________</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557BEBD4" w14:textId="77777777" w:rsidR="00E925BE" w:rsidRPr="00CA0534" w:rsidRDefault="00E925BE" w:rsidP="00E925BE">
      <w:pPr>
        <w:ind w:firstLine="720"/>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անուն</w:t>
      </w:r>
      <w:r w:rsidRPr="00CA0534">
        <w:rPr>
          <w:rFonts w:ascii="GHEA Grapalat" w:hAnsi="GHEA Grapalat" w:cs="Calibri"/>
          <w:sz w:val="22"/>
          <w:szCs w:val="22"/>
          <w:lang w:val="es-ES"/>
        </w:rPr>
        <w:t>մասնակցի (ղեկավարի պաշտոնը, անունը և ազգանունը) ստորագրությունը</w:t>
      </w:r>
    </w:p>
    <w:p w14:paraId="0E12F983" w14:textId="77777777" w:rsidR="00E925BE" w:rsidRPr="00CA0534" w:rsidRDefault="00E925BE" w:rsidP="00E925BE">
      <w:pPr>
        <w:jc w:val="both"/>
        <w:rPr>
          <w:rFonts w:ascii="GHEA Grapalat" w:hAnsi="GHEA Grapalat" w:cs="Calibri"/>
          <w:sz w:val="22"/>
          <w:szCs w:val="22"/>
        </w:rPr>
      </w:pPr>
      <w:r w:rsidRPr="00CA0534">
        <w:rPr>
          <w:rFonts w:ascii="GHEA Grapalat" w:hAnsi="GHEA Grapalat" w:cs="Calibri"/>
          <w:sz w:val="22"/>
          <w:szCs w:val="22"/>
        </w:rPr>
        <w:t xml:space="preserve">    </w:t>
      </w:r>
    </w:p>
    <w:p w14:paraId="08FAD3BC" w14:textId="77777777" w:rsidR="00E925BE" w:rsidRPr="00CA0534" w:rsidRDefault="00E925BE" w:rsidP="00E925BE">
      <w:pPr>
        <w:jc w:val="right"/>
        <w:rPr>
          <w:rFonts w:ascii="GHEA Grapalat" w:hAnsi="GHEA Grapalat" w:cs="Calibri"/>
          <w:sz w:val="22"/>
          <w:szCs w:val="22"/>
        </w:rPr>
      </w:pPr>
      <w:r w:rsidRPr="00CA0534">
        <w:rPr>
          <w:rFonts w:ascii="GHEA Grapalat" w:hAnsi="GHEA Grapalat" w:cs="Calibri"/>
          <w:sz w:val="22"/>
          <w:szCs w:val="22"/>
        </w:rPr>
        <w:tab/>
      </w:r>
      <w:r w:rsidRPr="00CA0534">
        <w:rPr>
          <w:rFonts w:ascii="GHEA Grapalat" w:hAnsi="GHEA Grapalat" w:cs="Calibri"/>
          <w:sz w:val="22"/>
          <w:szCs w:val="22"/>
        </w:rPr>
        <w:tab/>
        <w:t xml:space="preserve"> </w:t>
      </w:r>
    </w:p>
    <w:p w14:paraId="19998F2B" w14:textId="77777777" w:rsidR="00E925BE" w:rsidRPr="00CA0534" w:rsidRDefault="00E925BE" w:rsidP="00E925BE">
      <w:pPr>
        <w:pStyle w:val="31"/>
        <w:jc w:val="right"/>
        <w:rPr>
          <w:rFonts w:ascii="GHEA Grapalat" w:hAnsi="GHEA Grapalat" w:cs="Calibri"/>
          <w:b/>
          <w:sz w:val="22"/>
          <w:szCs w:val="22"/>
        </w:rPr>
      </w:pPr>
    </w:p>
    <w:p w14:paraId="33161D1E" w14:textId="77777777" w:rsidR="00E925BE" w:rsidRPr="00CA0534" w:rsidRDefault="00E925BE" w:rsidP="00E925BE">
      <w:pPr>
        <w:pStyle w:val="31"/>
        <w:jc w:val="right"/>
        <w:rPr>
          <w:rFonts w:ascii="GHEA Grapalat" w:hAnsi="GHEA Grapalat" w:cs="Calibri"/>
          <w:b/>
          <w:sz w:val="22"/>
          <w:szCs w:val="22"/>
        </w:rPr>
      </w:pPr>
    </w:p>
    <w:p w14:paraId="7267E016" w14:textId="77777777" w:rsidR="00E925BE" w:rsidRPr="00CA0534" w:rsidRDefault="00E925BE" w:rsidP="00E925BE">
      <w:pPr>
        <w:pStyle w:val="31"/>
        <w:jc w:val="right"/>
        <w:rPr>
          <w:rFonts w:ascii="GHEA Grapalat" w:hAnsi="GHEA Grapalat" w:cs="Calibri"/>
          <w:b/>
          <w:sz w:val="22"/>
          <w:szCs w:val="22"/>
        </w:rPr>
      </w:pPr>
    </w:p>
    <w:p w14:paraId="160CA42E" w14:textId="77777777" w:rsidR="00E925BE" w:rsidRPr="00CA0534" w:rsidRDefault="00E925BE" w:rsidP="00E925BE">
      <w:pPr>
        <w:pStyle w:val="31"/>
        <w:jc w:val="right"/>
        <w:rPr>
          <w:rFonts w:ascii="GHEA Grapalat" w:hAnsi="GHEA Grapalat" w:cs="Calibri"/>
          <w:b/>
          <w:sz w:val="22"/>
          <w:szCs w:val="22"/>
        </w:rPr>
      </w:pPr>
    </w:p>
    <w:p w14:paraId="7E0339AC" w14:textId="77777777" w:rsidR="00E925BE" w:rsidRPr="00CA0534" w:rsidRDefault="00E925BE" w:rsidP="00E925BE">
      <w:pPr>
        <w:jc w:val="center"/>
        <w:rPr>
          <w:rFonts w:ascii="GHEA Grapalat" w:hAnsi="GHEA Grapalat" w:cs="Calibri"/>
          <w:sz w:val="22"/>
          <w:szCs w:val="22"/>
        </w:rPr>
      </w:pPr>
      <w:r w:rsidRPr="00CA0534">
        <w:rPr>
          <w:rFonts w:ascii="GHEA Grapalat" w:hAnsi="GHEA Grapalat" w:cs="Calibri"/>
          <w:sz w:val="22"/>
          <w:szCs w:val="22"/>
        </w:rPr>
        <w:br w:type="page"/>
      </w:r>
    </w:p>
    <w:p w14:paraId="5CC867D4" w14:textId="77777777" w:rsidR="00E925BE" w:rsidRPr="00CA0534" w:rsidRDefault="00E925BE" w:rsidP="00E925BE">
      <w:pPr>
        <w:jc w:val="right"/>
        <w:rPr>
          <w:rFonts w:ascii="GHEA Grapalat" w:hAnsi="GHEA Grapalat" w:cs="Calibri"/>
          <w:sz w:val="22"/>
          <w:szCs w:val="22"/>
          <w:lang w:val="es-ES"/>
        </w:rPr>
      </w:pPr>
      <w:r w:rsidRPr="00CA0534">
        <w:rPr>
          <w:rFonts w:ascii="GHEA Grapalat" w:hAnsi="GHEA Grapalat" w:cs="Calibri"/>
          <w:sz w:val="22"/>
          <w:szCs w:val="22"/>
          <w:lang w:val="es-ES"/>
        </w:rPr>
        <w:lastRenderedPageBreak/>
        <w:t>Հավելված N 2</w:t>
      </w:r>
    </w:p>
    <w:p w14:paraId="0F442309" w14:textId="67EAD9E5" w:rsidR="00E925BE" w:rsidRPr="00CA0534" w:rsidRDefault="00E925BE" w:rsidP="00E925BE">
      <w:pPr>
        <w:jc w:val="right"/>
        <w:rPr>
          <w:rStyle w:val="af0"/>
          <w:rFonts w:ascii="GHEA Grapalat" w:eastAsiaTheme="majorEastAsia" w:hAnsi="GHEA Grapalat"/>
          <w:color w:val="auto"/>
        </w:rPr>
      </w:pPr>
      <w:r w:rsidRPr="00CA0534">
        <w:rPr>
          <w:rFonts w:ascii="GHEA Grapalat" w:hAnsi="GHEA Grapalat" w:cs="Calibri"/>
          <w:sz w:val="22"/>
          <w:szCs w:val="22"/>
          <w:lang w:val="es-ES"/>
        </w:rPr>
        <w:t xml:space="preserve">Բաց մրցույթ՝ կոդի </w:t>
      </w:r>
      <w:r w:rsidRPr="003737F9">
        <w:rPr>
          <w:rFonts w:ascii="GHEA Grapalat" w:hAnsi="GHEA Grapalat" w:cs="Calibri"/>
          <w:sz w:val="22"/>
          <w:szCs w:val="22"/>
          <w:lang w:val="es-ES"/>
        </w:rPr>
        <w:t>համաձայն</w:t>
      </w:r>
      <w:r w:rsidR="001A277D" w:rsidRPr="003737F9">
        <w:rPr>
          <w:rStyle w:val="afa"/>
          <w:rFonts w:ascii="GHEA Grapalat" w:eastAsiaTheme="majorEastAsia" w:hAnsi="GHEA Grapalat" w:cs="Calibri"/>
          <w:sz w:val="22"/>
          <w:szCs w:val="22"/>
        </w:rPr>
        <w:t>ՀՀ-ԲԾ-Ա-ԲՄԽԾՁԲ-2</w:t>
      </w:r>
      <w:r w:rsidR="003737F9" w:rsidRPr="003737F9">
        <w:rPr>
          <w:rStyle w:val="afa"/>
          <w:rFonts w:ascii="GHEA Grapalat" w:eastAsiaTheme="majorEastAsia" w:hAnsi="GHEA Grapalat" w:cs="Calibri"/>
          <w:sz w:val="22"/>
          <w:szCs w:val="22"/>
        </w:rPr>
        <w:t>6/2</w:t>
      </w:r>
      <w:r w:rsidR="0052628B">
        <w:rPr>
          <w:rStyle w:val="afa"/>
          <w:rFonts w:ascii="GHEA Grapalat" w:eastAsiaTheme="majorEastAsia" w:hAnsi="GHEA Grapalat" w:cs="Calibri"/>
          <w:sz w:val="22"/>
          <w:szCs w:val="22"/>
        </w:rPr>
        <w:t>9</w:t>
      </w:r>
      <w:r w:rsidR="001A277D" w:rsidRPr="00CA0534">
        <w:rPr>
          <w:rStyle w:val="afa"/>
          <w:rFonts w:ascii="GHEA Grapalat" w:eastAsiaTheme="majorEastAsia" w:hAnsi="GHEA Grapalat"/>
          <w:lang w:val="af-ZA"/>
        </w:rPr>
        <w:t xml:space="preserve">     </w:t>
      </w:r>
      <w:r w:rsidR="001A277D" w:rsidRPr="00CA0534">
        <w:rPr>
          <w:rFonts w:ascii="GHEA Grapalat" w:hAnsi="GHEA Grapalat" w:cs="Calibri"/>
          <w:sz w:val="22"/>
          <w:szCs w:val="22"/>
        </w:rPr>
        <w:t xml:space="preserve"> </w:t>
      </w:r>
    </w:p>
    <w:p w14:paraId="4400BCC7" w14:textId="77777777" w:rsidR="00E925BE" w:rsidRPr="00CA0534" w:rsidRDefault="00E925BE" w:rsidP="00E925BE">
      <w:pPr>
        <w:jc w:val="right"/>
        <w:rPr>
          <w:rFonts w:ascii="GHEA Grapalat" w:hAnsi="GHEA Grapalat" w:cs="Calibri"/>
          <w:b/>
          <w:sz w:val="22"/>
          <w:szCs w:val="22"/>
          <w:lang w:val="es-ES" w:eastAsia="en-US"/>
        </w:rPr>
      </w:pPr>
      <w:r w:rsidRPr="00CA0534">
        <w:rPr>
          <w:rFonts w:ascii="GHEA Grapalat" w:hAnsi="GHEA Grapalat" w:cs="Calibri"/>
          <w:sz w:val="22"/>
          <w:szCs w:val="22"/>
          <w:lang w:val="es-ES"/>
        </w:rPr>
        <w:t xml:space="preserve">  նախնական որակավորման ընթացակարգի հայտարարություն</w:t>
      </w:r>
    </w:p>
    <w:p w14:paraId="6B56F415" w14:textId="77777777" w:rsidR="00E925BE" w:rsidRPr="00CA0534" w:rsidRDefault="00E925BE" w:rsidP="00E925BE">
      <w:pPr>
        <w:jc w:val="center"/>
        <w:rPr>
          <w:rFonts w:ascii="GHEA Grapalat" w:hAnsi="GHEA Grapalat" w:cs="Calibri"/>
          <w:b/>
          <w:sz w:val="22"/>
          <w:szCs w:val="22"/>
        </w:rPr>
      </w:pPr>
    </w:p>
    <w:p w14:paraId="01DEC903" w14:textId="77777777" w:rsidR="00E925BE" w:rsidRPr="00CA0534" w:rsidRDefault="00E925BE" w:rsidP="00E925BE">
      <w:pPr>
        <w:pStyle w:val="31"/>
        <w:jc w:val="right"/>
        <w:rPr>
          <w:rFonts w:ascii="GHEA Grapalat" w:hAnsi="GHEA Grapalat" w:cs="Calibri"/>
          <w:sz w:val="22"/>
          <w:szCs w:val="22"/>
          <w:lang w:val="es-ES"/>
        </w:rPr>
      </w:pPr>
    </w:p>
    <w:p w14:paraId="5AD22379" w14:textId="77777777" w:rsidR="00E925BE" w:rsidRPr="00CA0534" w:rsidRDefault="00E925BE" w:rsidP="00E925BE">
      <w:pPr>
        <w:ind w:left="709" w:hanging="1844"/>
        <w:jc w:val="center"/>
        <w:rPr>
          <w:rFonts w:ascii="GHEA Grapalat" w:hAnsi="GHEA Grapalat" w:cs="Calibri"/>
          <w:b/>
          <w:sz w:val="22"/>
          <w:szCs w:val="22"/>
          <w:lang w:val="es-ES"/>
        </w:rPr>
      </w:pPr>
      <w:r w:rsidRPr="00CA0534">
        <w:rPr>
          <w:rFonts w:ascii="GHEA Grapalat" w:hAnsi="GHEA Grapalat" w:cs="Calibri"/>
          <w:b/>
          <w:sz w:val="22"/>
          <w:szCs w:val="22"/>
          <w:lang w:val="es-ES"/>
        </w:rPr>
        <w:t>ՀԱՇՎԵՏՎՈՒԹՅՈՒՆ</w:t>
      </w:r>
    </w:p>
    <w:p w14:paraId="4AA7B951" w14:textId="77777777" w:rsidR="005A2E1B" w:rsidRPr="00CA0534" w:rsidRDefault="005A2E1B" w:rsidP="00E925BE">
      <w:pPr>
        <w:ind w:left="709" w:hanging="1844"/>
        <w:jc w:val="center"/>
        <w:rPr>
          <w:rFonts w:ascii="GHEA Grapalat" w:hAnsi="GHEA Grapalat" w:cs="Calibri"/>
          <w:b/>
          <w:sz w:val="22"/>
          <w:szCs w:val="22"/>
          <w:lang w:val="es-ES"/>
        </w:rPr>
      </w:pPr>
    </w:p>
    <w:p w14:paraId="1F7D3989" w14:textId="77777777" w:rsidR="00E925BE" w:rsidRPr="00CA0534" w:rsidRDefault="00E925BE" w:rsidP="00E925BE">
      <w:pPr>
        <w:ind w:left="709" w:firstLine="11"/>
        <w:jc w:val="center"/>
        <w:rPr>
          <w:rFonts w:ascii="GHEA Grapalat" w:hAnsi="GHEA Grapalat" w:cs="Calibri"/>
          <w:b/>
          <w:sz w:val="22"/>
          <w:szCs w:val="22"/>
          <w:lang w:val="es-ES"/>
        </w:rPr>
      </w:pPr>
      <w:r w:rsidRPr="00CA0534">
        <w:rPr>
          <w:rFonts w:ascii="GHEA Grapalat" w:hAnsi="GHEA Grapalat" w:cs="Calibri"/>
          <w:b/>
          <w:sz w:val="22"/>
          <w:szCs w:val="22"/>
          <w:lang w:val="es-ES"/>
        </w:rPr>
        <w:t>«Մասնագիտական գործունեության համապատասխանությունը պայմանագրով նախատեսված գործունեությանը» որակավորման չափանիշի պահպանման մասին։</w:t>
      </w:r>
    </w:p>
    <w:p w14:paraId="2214FFD5" w14:textId="77777777" w:rsidR="00E925BE" w:rsidRPr="00CA0534" w:rsidRDefault="00E925BE" w:rsidP="00E925BE">
      <w:pPr>
        <w:ind w:left="709" w:firstLine="11"/>
        <w:jc w:val="center"/>
        <w:rPr>
          <w:rFonts w:ascii="GHEA Grapalat" w:hAnsi="GHEA Grapalat" w:cs="Calibri"/>
          <w:sz w:val="22"/>
          <w:szCs w:val="22"/>
        </w:rPr>
      </w:pPr>
    </w:p>
    <w:p w14:paraId="1AA757A9" w14:textId="77777777" w:rsidR="00E925BE" w:rsidRPr="00CA0534" w:rsidRDefault="00E925BE" w:rsidP="00E925BE">
      <w:pPr>
        <w:ind w:firstLine="567"/>
        <w:jc w:val="both"/>
        <w:rPr>
          <w:rFonts w:ascii="GHEA Grapalat" w:hAnsi="GHEA Grapalat" w:cs="Calibri"/>
          <w:sz w:val="22"/>
          <w:szCs w:val="22"/>
        </w:rPr>
      </w:pPr>
      <w:r w:rsidRPr="00CA0534">
        <w:rPr>
          <w:rFonts w:ascii="GHEA Grapalat" w:hAnsi="GHEA Grapalat" w:cs="Calibri"/>
          <w:sz w:val="22"/>
          <w:szCs w:val="22"/>
        </w:rPr>
        <w:t>/Մասնակցի անունը / __________ հայտարարում և հավաստում է, որ մատուցել է ստորև նշված ծառայությունները</w:t>
      </w:r>
    </w:p>
    <w:p w14:paraId="20DABA99" w14:textId="77777777" w:rsidR="00E925BE" w:rsidRPr="00CA0534" w:rsidRDefault="00E925BE" w:rsidP="00E925BE">
      <w:pPr>
        <w:ind w:firstLine="720"/>
        <w:jc w:val="both"/>
        <w:rPr>
          <w:rFonts w:ascii="GHEA Grapalat" w:hAnsi="GHEA Grapalat" w:cs="Calibri"/>
          <w:sz w:val="22"/>
          <w:szCs w:val="22"/>
          <w:lang w:val="es-ES"/>
        </w:rPr>
      </w:pPr>
      <w:r w:rsidRPr="00CA0534">
        <w:rPr>
          <w:rFonts w:ascii="GHEA Grapalat" w:hAnsi="GHEA Grapalat" w:cs="Calibri"/>
          <w:sz w:val="22"/>
          <w:szCs w:val="22"/>
        </w:rPr>
        <w:tab/>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71"/>
        <w:gridCol w:w="1161"/>
        <w:gridCol w:w="1363"/>
        <w:gridCol w:w="1415"/>
        <w:gridCol w:w="3425"/>
        <w:gridCol w:w="11"/>
      </w:tblGrid>
      <w:tr w:rsidR="00E925BE" w:rsidRPr="00CA0534" w14:paraId="5224C7E2" w14:textId="77777777" w:rsidTr="00E925BE">
        <w:trPr>
          <w:trHeight w:val="249"/>
        </w:trPr>
        <w:tc>
          <w:tcPr>
            <w:tcW w:w="9458" w:type="dxa"/>
            <w:gridSpan w:val="7"/>
            <w:tcBorders>
              <w:top w:val="single" w:sz="4" w:space="0" w:color="auto"/>
              <w:left w:val="single" w:sz="4" w:space="0" w:color="auto"/>
              <w:bottom w:val="single" w:sz="4" w:space="0" w:color="auto"/>
              <w:right w:val="single" w:sz="4" w:space="0" w:color="auto"/>
            </w:tcBorders>
          </w:tcPr>
          <w:p w14:paraId="02354F03" w14:textId="77777777" w:rsidR="00E925BE" w:rsidRPr="00CA0534" w:rsidRDefault="00E925BE">
            <w:pPr>
              <w:pStyle w:val="a7"/>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ind w:left="360"/>
              <w:jc w:val="both"/>
              <w:rPr>
                <w:rFonts w:ascii="GHEA Grapalat" w:hAnsi="GHEA Grapalat" w:cs="Calibri"/>
                <w:kern w:val="2"/>
                <w:sz w:val="22"/>
                <w:szCs w:val="22"/>
                <w:lang w:val="x-none"/>
                <w14:ligatures w14:val="standardContextual"/>
              </w:rPr>
            </w:pPr>
          </w:p>
        </w:tc>
      </w:tr>
      <w:tr w:rsidR="00E925BE" w:rsidRPr="00CA0534" w14:paraId="057187C0"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814FFDE"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Հյուսիս</w:t>
            </w:r>
          </w:p>
        </w:tc>
        <w:tc>
          <w:tcPr>
            <w:tcW w:w="1270" w:type="dxa"/>
            <w:tcBorders>
              <w:top w:val="single" w:sz="4" w:space="0" w:color="auto"/>
              <w:left w:val="single" w:sz="4" w:space="0" w:color="auto"/>
              <w:bottom w:val="single" w:sz="4" w:space="0" w:color="auto"/>
              <w:right w:val="single" w:sz="4" w:space="0" w:color="auto"/>
            </w:tcBorders>
            <w:hideMark/>
          </w:tcPr>
          <w:p w14:paraId="08A8E588"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Տարի</w:t>
            </w:r>
          </w:p>
        </w:tc>
        <w:tc>
          <w:tcPr>
            <w:tcW w:w="1160" w:type="dxa"/>
            <w:tcBorders>
              <w:top w:val="single" w:sz="4" w:space="0" w:color="auto"/>
              <w:left w:val="single" w:sz="4" w:space="0" w:color="auto"/>
              <w:bottom w:val="single" w:sz="4" w:space="0" w:color="auto"/>
              <w:right w:val="single" w:sz="4" w:space="0" w:color="auto"/>
            </w:tcBorders>
            <w:hideMark/>
          </w:tcPr>
          <w:p w14:paraId="527A4BE0"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Համար</w:t>
            </w:r>
          </w:p>
        </w:tc>
        <w:tc>
          <w:tcPr>
            <w:tcW w:w="1362" w:type="dxa"/>
            <w:tcBorders>
              <w:top w:val="single" w:sz="4" w:space="0" w:color="auto"/>
              <w:left w:val="single" w:sz="4" w:space="0" w:color="auto"/>
              <w:bottom w:val="single" w:sz="4" w:space="0" w:color="auto"/>
              <w:right w:val="single" w:sz="4" w:space="0" w:color="auto"/>
            </w:tcBorders>
            <w:hideMark/>
          </w:tcPr>
          <w:p w14:paraId="38BDB66E"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Գումարի չափը</w:t>
            </w:r>
          </w:p>
        </w:tc>
        <w:tc>
          <w:tcPr>
            <w:tcW w:w="1414" w:type="dxa"/>
            <w:tcBorders>
              <w:top w:val="single" w:sz="4" w:space="0" w:color="auto"/>
              <w:left w:val="single" w:sz="4" w:space="0" w:color="auto"/>
              <w:bottom w:val="single" w:sz="4" w:space="0" w:color="auto"/>
              <w:right w:val="single" w:sz="4" w:space="0" w:color="auto"/>
            </w:tcBorders>
            <w:hideMark/>
          </w:tcPr>
          <w:p w14:paraId="610C5C9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Անունը /</w:t>
            </w:r>
          </w:p>
          <w:p w14:paraId="3248393D"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նկարագրություն</w:t>
            </w:r>
          </w:p>
        </w:tc>
        <w:tc>
          <w:tcPr>
            <w:tcW w:w="3422" w:type="dxa"/>
            <w:tcBorders>
              <w:top w:val="single" w:sz="4" w:space="0" w:color="auto"/>
              <w:left w:val="single" w:sz="4" w:space="0" w:color="auto"/>
              <w:bottom w:val="single" w:sz="4" w:space="0" w:color="auto"/>
              <w:right w:val="single" w:sz="4" w:space="0" w:color="auto"/>
            </w:tcBorders>
            <w:vAlign w:val="center"/>
            <w:hideMark/>
          </w:tcPr>
          <w:p w14:paraId="17C897BA" w14:textId="502F9BB3"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Հաճախորդի հետ կապվելու համար անհրաժեշտ տվյալներ՝ անուն, ազգանուն, հեռախոսահամար, էլեկտրոնային փոստ։</w:t>
            </w:r>
          </w:p>
        </w:tc>
      </w:tr>
      <w:tr w:rsidR="00E925BE" w:rsidRPr="00CA0534" w14:paraId="5486A8F5"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F7187AB"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r w:rsidRPr="00CA0534">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hideMark/>
          </w:tcPr>
          <w:p w14:paraId="716EB0CA"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2</w:t>
            </w:r>
          </w:p>
        </w:tc>
        <w:tc>
          <w:tcPr>
            <w:tcW w:w="1160" w:type="dxa"/>
            <w:tcBorders>
              <w:top w:val="single" w:sz="4" w:space="0" w:color="auto"/>
              <w:left w:val="single" w:sz="4" w:space="0" w:color="auto"/>
              <w:bottom w:val="single" w:sz="4" w:space="0" w:color="auto"/>
              <w:right w:val="single" w:sz="4" w:space="0" w:color="auto"/>
            </w:tcBorders>
            <w:hideMark/>
          </w:tcPr>
          <w:p w14:paraId="3E81376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hideMark/>
          </w:tcPr>
          <w:p w14:paraId="7E368A2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4</w:t>
            </w:r>
          </w:p>
        </w:tc>
        <w:tc>
          <w:tcPr>
            <w:tcW w:w="1414" w:type="dxa"/>
            <w:tcBorders>
              <w:top w:val="single" w:sz="4" w:space="0" w:color="auto"/>
              <w:left w:val="single" w:sz="4" w:space="0" w:color="auto"/>
              <w:bottom w:val="single" w:sz="4" w:space="0" w:color="auto"/>
              <w:right w:val="single" w:sz="4" w:space="0" w:color="auto"/>
            </w:tcBorders>
            <w:hideMark/>
          </w:tcPr>
          <w:p w14:paraId="0D5E2AE6"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5</w:t>
            </w:r>
          </w:p>
        </w:tc>
        <w:tc>
          <w:tcPr>
            <w:tcW w:w="3422" w:type="dxa"/>
            <w:tcBorders>
              <w:top w:val="single" w:sz="4" w:space="0" w:color="auto"/>
              <w:left w:val="single" w:sz="4" w:space="0" w:color="auto"/>
              <w:bottom w:val="single" w:sz="4" w:space="0" w:color="auto"/>
              <w:right w:val="single" w:sz="4" w:space="0" w:color="auto"/>
            </w:tcBorders>
            <w:hideMark/>
          </w:tcPr>
          <w:p w14:paraId="70A0666F"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6</w:t>
            </w:r>
          </w:p>
        </w:tc>
      </w:tr>
      <w:tr w:rsidR="00E925BE" w:rsidRPr="00CA0534" w14:paraId="183CE8C3"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4D0CA9ED"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tcPr>
          <w:p w14:paraId="79DFCAA7"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196E558B"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38D46620"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475EAF0B"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66E1589"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292C51AA"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73BA38F5"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2</w:t>
            </w:r>
          </w:p>
        </w:tc>
        <w:tc>
          <w:tcPr>
            <w:tcW w:w="1270" w:type="dxa"/>
            <w:tcBorders>
              <w:top w:val="single" w:sz="4" w:space="0" w:color="auto"/>
              <w:left w:val="single" w:sz="4" w:space="0" w:color="auto"/>
              <w:bottom w:val="single" w:sz="4" w:space="0" w:color="auto"/>
              <w:right w:val="single" w:sz="4" w:space="0" w:color="auto"/>
            </w:tcBorders>
          </w:tcPr>
          <w:p w14:paraId="4A281114"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7E2412B0"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48EDF5C1"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BF9C4DA"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6801D3EE"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76C65659"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2445B86F"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3</w:t>
            </w:r>
          </w:p>
        </w:tc>
        <w:tc>
          <w:tcPr>
            <w:tcW w:w="1270" w:type="dxa"/>
            <w:tcBorders>
              <w:top w:val="single" w:sz="4" w:space="0" w:color="auto"/>
              <w:left w:val="single" w:sz="4" w:space="0" w:color="auto"/>
              <w:bottom w:val="single" w:sz="4" w:space="0" w:color="auto"/>
              <w:right w:val="single" w:sz="4" w:space="0" w:color="auto"/>
            </w:tcBorders>
          </w:tcPr>
          <w:p w14:paraId="21C12D5A"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0AF5A3ED"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0C9E607E"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32E86763"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8D321DA"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278D13E2"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31EB9057"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 xml:space="preserve"> </w:t>
            </w:r>
          </w:p>
        </w:tc>
        <w:tc>
          <w:tcPr>
            <w:tcW w:w="1270" w:type="dxa"/>
            <w:tcBorders>
              <w:top w:val="single" w:sz="4" w:space="0" w:color="auto"/>
              <w:left w:val="single" w:sz="4" w:space="0" w:color="auto"/>
              <w:bottom w:val="single" w:sz="4" w:space="0" w:color="auto"/>
              <w:right w:val="single" w:sz="4" w:space="0" w:color="auto"/>
            </w:tcBorders>
          </w:tcPr>
          <w:p w14:paraId="350D24C2"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5448076F"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6A5208CF"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828E515"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03E94873"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bl>
    <w:p w14:paraId="6A40901A" w14:textId="77777777" w:rsidR="00E925BE" w:rsidRPr="00CA0534" w:rsidRDefault="00E925BE" w:rsidP="00E925BE">
      <w:pPr>
        <w:ind w:firstLine="720"/>
        <w:jc w:val="center"/>
        <w:rPr>
          <w:rFonts w:ascii="GHEA Grapalat" w:hAnsi="GHEA Grapalat" w:cs="Calibri"/>
          <w:sz w:val="22"/>
          <w:szCs w:val="22"/>
        </w:rPr>
      </w:pPr>
    </w:p>
    <w:p w14:paraId="49E52ED4" w14:textId="61EBC25D"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rPr>
        <w:t>Սույնով ___________________-ը հայտարարում և հավաստում է, որ համապատասխանում է կազմակերպության փորձի որակավորման չափանիշներին, որոնք սահմանված են կոդի համաձայն նախնական որակավորման հայտարարությամբ։</w:t>
      </w:r>
      <w:r w:rsidR="00705AFC" w:rsidRPr="003737F9">
        <w:rPr>
          <w:rStyle w:val="afa"/>
          <w:rFonts w:ascii="GHEA Grapalat" w:eastAsiaTheme="majorEastAsia" w:hAnsi="GHEA Grapalat" w:cs="Calibri"/>
          <w:sz w:val="22"/>
          <w:szCs w:val="22"/>
        </w:rPr>
        <w:t>ՀՀ-ԲԾ-Ա-ԲՄԽԾՁԲ-2</w:t>
      </w:r>
      <w:r w:rsidR="003737F9" w:rsidRPr="003737F9">
        <w:rPr>
          <w:rStyle w:val="afa"/>
          <w:rFonts w:ascii="GHEA Grapalat" w:eastAsiaTheme="majorEastAsia" w:hAnsi="GHEA Grapalat" w:cs="Calibri"/>
          <w:sz w:val="22"/>
          <w:szCs w:val="22"/>
        </w:rPr>
        <w:t>6/2</w:t>
      </w:r>
      <w:r w:rsidR="0052628B">
        <w:rPr>
          <w:rStyle w:val="afa"/>
          <w:rFonts w:ascii="GHEA Grapalat" w:eastAsiaTheme="majorEastAsia" w:hAnsi="GHEA Grapalat" w:cs="Calibri"/>
          <w:sz w:val="22"/>
          <w:szCs w:val="22"/>
        </w:rPr>
        <w:t>9</w:t>
      </w:r>
      <w:r w:rsidR="00EE07DE" w:rsidRPr="00EE07DE">
        <w:rPr>
          <w:rStyle w:val="afa"/>
          <w:rFonts w:ascii="GHEA Grapalat" w:eastAsiaTheme="majorEastAsia" w:hAnsi="GHEA Grapalat" w:cs="Calibri"/>
          <w:sz w:val="22"/>
          <w:szCs w:val="22"/>
        </w:rPr>
        <w:t xml:space="preserve"> </w:t>
      </w:r>
      <w:r w:rsidR="006F425B" w:rsidRPr="00CA0534">
        <w:rPr>
          <w:rStyle w:val="afa"/>
          <w:rFonts w:ascii="GHEA Grapalat" w:eastAsiaTheme="majorEastAsia" w:hAnsi="GHEA Grapalat" w:cs="Calibri"/>
          <w:sz w:val="22"/>
          <w:szCs w:val="22"/>
        </w:rPr>
        <w:t>\\</w:t>
      </w:r>
      <w:r w:rsidRPr="00CA0534">
        <w:rPr>
          <w:rFonts w:ascii="GHEA Grapalat" w:hAnsi="GHEA Grapalat" w:cs="Calibri"/>
          <w:sz w:val="22"/>
          <w:szCs w:val="22"/>
        </w:rPr>
        <w:t>և պատրաստ է պահանջի դեպքում ներկայացնել վերը նշված որակավորումը հիմնավորող փաստաթղթերը նշված ժամկետում։</w:t>
      </w:r>
    </w:p>
    <w:p w14:paraId="78425EBE"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lang w:val="es-ES"/>
        </w:rPr>
        <w:t>____________________________________________</w:t>
      </w:r>
      <w:r w:rsidRPr="00CA0534">
        <w:rPr>
          <w:rFonts w:ascii="GHEA Grapalat" w:hAnsi="GHEA Grapalat" w:cs="Calibri"/>
          <w:sz w:val="22"/>
          <w:szCs w:val="22"/>
        </w:rPr>
        <w:tab/>
        <w:t xml:space="preserve">                _____________</w:t>
      </w:r>
      <w:r w:rsidRPr="00CA0534">
        <w:rPr>
          <w:rFonts w:ascii="GHEA Grapalat" w:hAnsi="GHEA Grapalat" w:cs="Calibri"/>
          <w:sz w:val="22"/>
          <w:szCs w:val="22"/>
          <w:u w:val="single"/>
          <w:lang w:val="es-ES"/>
        </w:rPr>
        <w:tab/>
      </w:r>
    </w:p>
    <w:p w14:paraId="25399629" w14:textId="77777777" w:rsidR="00E925BE" w:rsidRPr="00CA0534" w:rsidRDefault="00E925BE" w:rsidP="00E925BE">
      <w:pPr>
        <w:ind w:firstLine="720"/>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մասնակցի անունը (ղեկավարի պաշտոնը, անունը և ազգանունը) ստորագրությունը</w:t>
      </w:r>
    </w:p>
    <w:p w14:paraId="2D42758B" w14:textId="77777777" w:rsidR="00E925BE" w:rsidRPr="00CA0534" w:rsidRDefault="00E925BE" w:rsidP="00E925BE">
      <w:pPr>
        <w:jc w:val="both"/>
        <w:rPr>
          <w:rFonts w:ascii="GHEA Grapalat" w:hAnsi="GHEA Grapalat" w:cs="Calibri"/>
          <w:sz w:val="22"/>
          <w:szCs w:val="22"/>
          <w:vertAlign w:val="superscript"/>
          <w:lang w:val="es-ES"/>
        </w:rPr>
      </w:pPr>
    </w:p>
    <w:p w14:paraId="69A41662" w14:textId="77777777" w:rsidR="00E925BE" w:rsidRPr="00CA0534" w:rsidRDefault="00E925BE" w:rsidP="00E925BE">
      <w:pPr>
        <w:pStyle w:val="31"/>
        <w:jc w:val="right"/>
        <w:rPr>
          <w:rFonts w:ascii="GHEA Grapalat" w:hAnsi="GHEA Grapalat" w:cs="Calibri"/>
          <w:b/>
          <w:sz w:val="22"/>
          <w:szCs w:val="22"/>
        </w:rPr>
      </w:pPr>
    </w:p>
    <w:p w14:paraId="56FB92FA" w14:textId="77777777" w:rsidR="00E925BE" w:rsidRPr="00CA0534" w:rsidRDefault="00E925BE" w:rsidP="00E925BE">
      <w:pPr>
        <w:pStyle w:val="31"/>
        <w:jc w:val="right"/>
        <w:rPr>
          <w:rFonts w:ascii="GHEA Grapalat" w:hAnsi="GHEA Grapalat" w:cs="Calibri"/>
          <w:b/>
          <w:sz w:val="22"/>
          <w:szCs w:val="22"/>
        </w:rPr>
      </w:pPr>
    </w:p>
    <w:p w14:paraId="0C4277CF" w14:textId="77777777" w:rsidR="00E925BE" w:rsidRPr="00CA0534" w:rsidRDefault="00E925BE" w:rsidP="00E925BE">
      <w:pPr>
        <w:pStyle w:val="31"/>
        <w:jc w:val="right"/>
        <w:rPr>
          <w:rFonts w:ascii="GHEA Grapalat" w:hAnsi="GHEA Grapalat" w:cs="Calibri"/>
          <w:b/>
          <w:sz w:val="22"/>
          <w:szCs w:val="22"/>
        </w:rPr>
      </w:pPr>
    </w:p>
    <w:p w14:paraId="6CFB04C2" w14:textId="77777777" w:rsidR="00E925BE" w:rsidRPr="00CA0534" w:rsidRDefault="00E925BE" w:rsidP="00E925BE">
      <w:pPr>
        <w:pStyle w:val="31"/>
        <w:jc w:val="right"/>
        <w:rPr>
          <w:rStyle w:val="af0"/>
          <w:rFonts w:ascii="GHEA Grapalat" w:eastAsiaTheme="majorEastAsia" w:hAnsi="GHEA Grapalat"/>
          <w:color w:val="auto"/>
          <w:lang w:val="es-ES"/>
        </w:rPr>
      </w:pPr>
    </w:p>
    <w:p w14:paraId="74F26808" w14:textId="77777777" w:rsidR="00E925BE" w:rsidRPr="00CA0534" w:rsidRDefault="00E925BE" w:rsidP="00E925BE">
      <w:pPr>
        <w:pStyle w:val="31"/>
        <w:jc w:val="right"/>
        <w:rPr>
          <w:rFonts w:ascii="GHEA Grapalat" w:hAnsi="GHEA Grapalat" w:cs="Calibri"/>
          <w:b/>
          <w:sz w:val="22"/>
          <w:szCs w:val="22"/>
        </w:rPr>
      </w:pPr>
    </w:p>
    <w:p w14:paraId="128DE7EE" w14:textId="77777777" w:rsidR="00E925BE" w:rsidRPr="00CA0534" w:rsidRDefault="00E925BE" w:rsidP="00E925BE">
      <w:pPr>
        <w:pStyle w:val="af1"/>
        <w:spacing w:after="0"/>
        <w:ind w:firstLine="567"/>
        <w:jc w:val="right"/>
        <w:rPr>
          <w:rFonts w:ascii="GHEA Grapalat" w:hAnsi="GHEA Grapalat" w:cs="Calibri"/>
          <w:sz w:val="22"/>
          <w:szCs w:val="22"/>
          <w:lang w:val="hy-AM"/>
        </w:rPr>
      </w:pPr>
    </w:p>
    <w:p w14:paraId="69075406" w14:textId="77777777" w:rsidR="00E925BE" w:rsidRPr="00CA0534" w:rsidRDefault="00E925BE" w:rsidP="00E925BE">
      <w:pPr>
        <w:pStyle w:val="af3"/>
        <w:ind w:right="565"/>
        <w:rPr>
          <w:rFonts w:ascii="GHEA Grapalat" w:hAnsi="GHEA Grapalat" w:cs="Calibri"/>
          <w:sz w:val="22"/>
          <w:szCs w:val="22"/>
        </w:rPr>
      </w:pPr>
    </w:p>
    <w:p w14:paraId="592F5DB8" w14:textId="77777777" w:rsidR="00E925BE" w:rsidRPr="00CA0534" w:rsidRDefault="00E925BE" w:rsidP="00E925BE">
      <w:pPr>
        <w:pStyle w:val="af3"/>
        <w:ind w:right="565"/>
        <w:rPr>
          <w:rFonts w:ascii="GHEA Grapalat" w:hAnsi="GHEA Grapalat" w:cs="Calibri"/>
          <w:i/>
          <w:sz w:val="22"/>
          <w:szCs w:val="22"/>
        </w:rPr>
      </w:pPr>
    </w:p>
    <w:p w14:paraId="092B3922" w14:textId="77777777" w:rsidR="00E925BE" w:rsidRPr="00CA0534" w:rsidRDefault="00E925BE" w:rsidP="00E925BE">
      <w:pPr>
        <w:suppressAutoHyphens/>
        <w:spacing w:before="120" w:after="120"/>
        <w:jc w:val="both"/>
        <w:rPr>
          <w:rFonts w:ascii="GHEA Grapalat" w:hAnsi="GHEA Grapalat" w:cs="Calibri"/>
          <w:sz w:val="22"/>
          <w:szCs w:val="22"/>
        </w:rPr>
      </w:pPr>
    </w:p>
    <w:p w14:paraId="389BED3F" w14:textId="77777777" w:rsidR="00133660" w:rsidRPr="00CA0534" w:rsidRDefault="00133660" w:rsidP="006E3BAE">
      <w:pPr>
        <w:suppressAutoHyphens/>
        <w:spacing w:before="120" w:after="120"/>
        <w:jc w:val="both"/>
        <w:rPr>
          <w:rFonts w:ascii="GHEA Grapalat" w:hAnsi="GHEA Grapalat" w:cs="Calibri"/>
          <w:sz w:val="22"/>
          <w:szCs w:val="22"/>
        </w:rPr>
      </w:pPr>
    </w:p>
    <w:sectPr w:rsidR="00133660" w:rsidRPr="00CA0534" w:rsidSect="006E3BAE">
      <w:pgSz w:w="12240" w:h="15840" w:code="1"/>
      <w:pgMar w:top="720" w:right="1152" w:bottom="720" w:left="1440" w:header="720" w:footer="1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8F342" w14:textId="77777777" w:rsidR="00486716" w:rsidRDefault="00486716" w:rsidP="00F055BD">
      <w:r>
        <w:separator/>
      </w:r>
    </w:p>
  </w:endnote>
  <w:endnote w:type="continuationSeparator" w:id="0">
    <w:p w14:paraId="4B16CB45" w14:textId="77777777" w:rsidR="00486716" w:rsidRDefault="00486716" w:rsidP="00F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sig w:usb0="00000000" w:usb1="D200FDFF" w:usb2="0A04602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71135508"/>
      <w:docPartObj>
        <w:docPartGallery w:val="Page Numbers (Bottom of Page)"/>
        <w:docPartUnique/>
      </w:docPartObj>
    </w:sdtPr>
    <w:sdtEndPr>
      <w:rPr>
        <w:noProof/>
      </w:rPr>
    </w:sdtEndPr>
    <w:sdtContent>
      <w:p w14:paraId="159EFE08"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D1403C">
          <w:t>1</w:t>
        </w:r>
        <w:r>
          <w:fldChar w:fldCharType="end"/>
        </w:r>
      </w:p>
    </w:sdtContent>
  </w:sdt>
  <w:p w14:paraId="0F8438E6" w14:textId="77777777" w:rsidR="004D0FE4" w:rsidRDefault="004D0FE4">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98136"/>
      <w:docPartObj>
        <w:docPartGallery w:val="Page Numbers (Bottom of Page)"/>
        <w:docPartUnique/>
      </w:docPartObj>
    </w:sdtPr>
    <w:sdtEndPr/>
    <w:sdtContent>
      <w:p w14:paraId="69FACB80"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D1403C">
          <w:t>14</w:t>
        </w:r>
        <w:r>
          <w:fldChar w:fldCharType="end"/>
        </w:r>
      </w:p>
    </w:sdtContent>
  </w:sdt>
  <w:p w14:paraId="555DD931" w14:textId="77777777" w:rsidR="004D0FE4" w:rsidRDefault="004D0FE4">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7C01D" w14:textId="77777777" w:rsidR="00486716" w:rsidRDefault="00486716" w:rsidP="00F055BD">
      <w:r>
        <w:separator/>
      </w:r>
    </w:p>
  </w:footnote>
  <w:footnote w:type="continuationSeparator" w:id="0">
    <w:p w14:paraId="0B36DD16" w14:textId="77777777" w:rsidR="00486716" w:rsidRDefault="00486716" w:rsidP="00F05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B47E2"/>
    <w:multiLevelType w:val="hybridMultilevel"/>
    <w:tmpl w:val="F6B8914A"/>
    <w:lvl w:ilvl="0" w:tplc="04090011">
      <w:start w:val="1"/>
      <w:numFmt w:val="decimal"/>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1">
    <w:nsid w:val="11FD3872"/>
    <w:multiLevelType w:val="hybridMultilevel"/>
    <w:tmpl w:val="E8E425CE"/>
    <w:lvl w:ilvl="0" w:tplc="0409000F">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A80CBD"/>
    <w:multiLevelType w:val="hybridMultilevel"/>
    <w:tmpl w:val="E0665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C5847"/>
    <w:multiLevelType w:val="hybridMultilevel"/>
    <w:tmpl w:val="D07CC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5D64267"/>
    <w:multiLevelType w:val="multilevel"/>
    <w:tmpl w:val="7CC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0C243E"/>
    <w:multiLevelType w:val="hybridMultilevel"/>
    <w:tmpl w:val="AF98F0A0"/>
    <w:lvl w:ilvl="0" w:tplc="7E7E0A48">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D223769"/>
    <w:multiLevelType w:val="hybridMultilevel"/>
    <w:tmpl w:val="DC8A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5F40D92"/>
    <w:multiLevelType w:val="hybridMultilevel"/>
    <w:tmpl w:val="A9B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E41B28"/>
    <w:multiLevelType w:val="multilevel"/>
    <w:tmpl w:val="1D9A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F4763A"/>
    <w:multiLevelType w:val="hybridMultilevel"/>
    <w:tmpl w:val="D1B2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001BF4"/>
    <w:multiLevelType w:val="hybridMultilevel"/>
    <w:tmpl w:val="4AA85D94"/>
    <w:lvl w:ilvl="0" w:tplc="821CF346">
      <w:start w:val="1"/>
      <w:numFmt w:val="decimal"/>
      <w:pStyle w:val="Para"/>
      <w:lvlText w:val="%1."/>
      <w:lvlJc w:val="left"/>
      <w:pPr>
        <w:ind w:left="1080" w:hanging="360"/>
      </w:pPr>
      <w:rPr>
        <w:rFonts w:ascii="Calibri" w:hAnsi="Calibri" w:cs="Calibr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9211C0"/>
    <w:multiLevelType w:val="multilevel"/>
    <w:tmpl w:val="3D344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AB078A"/>
    <w:multiLevelType w:val="hybridMultilevel"/>
    <w:tmpl w:val="C3E010E8"/>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10658F"/>
    <w:multiLevelType w:val="multilevel"/>
    <w:tmpl w:val="CDE8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A57E10"/>
    <w:multiLevelType w:val="hybridMultilevel"/>
    <w:tmpl w:val="3880029E"/>
    <w:lvl w:ilvl="0" w:tplc="0409000F">
      <w:start w:val="1"/>
      <w:numFmt w:val="decimal"/>
      <w:lvlText w:val="%1."/>
      <w:lvlJc w:val="left"/>
      <w:pPr>
        <w:ind w:left="720" w:hanging="360"/>
      </w:pPr>
    </w:lvl>
    <w:lvl w:ilvl="1" w:tplc="D8D6193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42B5A9C"/>
    <w:multiLevelType w:val="hybridMultilevel"/>
    <w:tmpl w:val="A68A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566988"/>
    <w:multiLevelType w:val="multilevel"/>
    <w:tmpl w:val="CC3A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6D4B30"/>
    <w:multiLevelType w:val="hybridMultilevel"/>
    <w:tmpl w:val="C2FCEC16"/>
    <w:lvl w:ilvl="0" w:tplc="FFFFFFFF">
      <w:start w:val="1"/>
      <w:numFmt w:val="decimal"/>
      <w:lvlText w:val="%1)"/>
      <w:lvlJc w:val="left"/>
      <w:pPr>
        <w:ind w:left="1426" w:hanging="360"/>
      </w:pPr>
    </w:lvl>
    <w:lvl w:ilvl="1" w:tplc="04090011">
      <w:start w:val="1"/>
      <w:numFmt w:val="decimal"/>
      <w:lvlText w:val="%2)"/>
      <w:lvlJc w:val="left"/>
      <w:pPr>
        <w:ind w:left="2146" w:hanging="360"/>
      </w:pPr>
    </w:lvl>
    <w:lvl w:ilvl="2" w:tplc="FFFFFFFF">
      <w:start w:val="1"/>
      <w:numFmt w:val="lowerRoman"/>
      <w:lvlText w:val="%3."/>
      <w:lvlJc w:val="right"/>
      <w:pPr>
        <w:ind w:left="2866" w:hanging="180"/>
      </w:pPr>
    </w:lvl>
    <w:lvl w:ilvl="3" w:tplc="FFFFFFFF">
      <w:start w:val="1"/>
      <w:numFmt w:val="decimal"/>
      <w:lvlText w:val="%4."/>
      <w:lvlJc w:val="left"/>
      <w:pPr>
        <w:ind w:left="3586" w:hanging="360"/>
      </w:pPr>
    </w:lvl>
    <w:lvl w:ilvl="4" w:tplc="FFFFFFFF">
      <w:start w:val="1"/>
      <w:numFmt w:val="lowerLetter"/>
      <w:lvlText w:val="%5."/>
      <w:lvlJc w:val="left"/>
      <w:pPr>
        <w:ind w:left="4306" w:hanging="360"/>
      </w:pPr>
    </w:lvl>
    <w:lvl w:ilvl="5" w:tplc="FFFFFFFF">
      <w:start w:val="1"/>
      <w:numFmt w:val="lowerRoman"/>
      <w:lvlText w:val="%6."/>
      <w:lvlJc w:val="right"/>
      <w:pPr>
        <w:ind w:left="5026" w:hanging="180"/>
      </w:pPr>
    </w:lvl>
    <w:lvl w:ilvl="6" w:tplc="FFFFFFFF">
      <w:start w:val="1"/>
      <w:numFmt w:val="decimal"/>
      <w:lvlText w:val="%7."/>
      <w:lvlJc w:val="left"/>
      <w:pPr>
        <w:ind w:left="5746" w:hanging="360"/>
      </w:pPr>
    </w:lvl>
    <w:lvl w:ilvl="7" w:tplc="FFFFFFFF">
      <w:start w:val="1"/>
      <w:numFmt w:val="lowerLetter"/>
      <w:lvlText w:val="%8."/>
      <w:lvlJc w:val="left"/>
      <w:pPr>
        <w:ind w:left="6466" w:hanging="360"/>
      </w:pPr>
    </w:lvl>
    <w:lvl w:ilvl="8" w:tplc="FFFFFFFF">
      <w:start w:val="1"/>
      <w:numFmt w:val="lowerRoman"/>
      <w:lvlText w:val="%9."/>
      <w:lvlJc w:val="right"/>
      <w:pPr>
        <w:ind w:left="7186" w:hanging="180"/>
      </w:p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15"/>
  </w:num>
  <w:num w:numId="11">
    <w:abstractNumId w:val="9"/>
  </w:num>
  <w:num w:numId="12">
    <w:abstractNumId w:val="7"/>
  </w:num>
  <w:num w:numId="13">
    <w:abstractNumId w:val="13"/>
  </w:num>
  <w:num w:numId="14">
    <w:abstractNumId w:val="11"/>
  </w:num>
  <w:num w:numId="15">
    <w:abstractNumId w:val="4"/>
  </w:num>
  <w:num w:numId="16">
    <w:abstractNumId w:val="16"/>
  </w:num>
  <w:num w:numId="17">
    <w:abstractNumId w:val="8"/>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9A"/>
    <w:rsid w:val="00001831"/>
    <w:rsid w:val="00001D1F"/>
    <w:rsid w:val="00002718"/>
    <w:rsid w:val="00005A94"/>
    <w:rsid w:val="0001431C"/>
    <w:rsid w:val="000157D4"/>
    <w:rsid w:val="0002274B"/>
    <w:rsid w:val="000236B9"/>
    <w:rsid w:val="00023BDE"/>
    <w:rsid w:val="00026963"/>
    <w:rsid w:val="0003193D"/>
    <w:rsid w:val="00043991"/>
    <w:rsid w:val="00044119"/>
    <w:rsid w:val="00047F1D"/>
    <w:rsid w:val="000540DE"/>
    <w:rsid w:val="0005683D"/>
    <w:rsid w:val="0005717D"/>
    <w:rsid w:val="00061B3A"/>
    <w:rsid w:val="00061F63"/>
    <w:rsid w:val="00063871"/>
    <w:rsid w:val="00065325"/>
    <w:rsid w:val="00066E4A"/>
    <w:rsid w:val="00087E3E"/>
    <w:rsid w:val="00091EF6"/>
    <w:rsid w:val="0009294B"/>
    <w:rsid w:val="000B248B"/>
    <w:rsid w:val="000B2D38"/>
    <w:rsid w:val="000B56D3"/>
    <w:rsid w:val="000C2E3D"/>
    <w:rsid w:val="000C3737"/>
    <w:rsid w:val="000C4C7B"/>
    <w:rsid w:val="000D061F"/>
    <w:rsid w:val="000D1508"/>
    <w:rsid w:val="000D2260"/>
    <w:rsid w:val="000E3873"/>
    <w:rsid w:val="000E3BCC"/>
    <w:rsid w:val="000E6882"/>
    <w:rsid w:val="000F122D"/>
    <w:rsid w:val="000F210B"/>
    <w:rsid w:val="000F394E"/>
    <w:rsid w:val="000F789C"/>
    <w:rsid w:val="00100FDF"/>
    <w:rsid w:val="00102540"/>
    <w:rsid w:val="00104A01"/>
    <w:rsid w:val="00121B92"/>
    <w:rsid w:val="00133660"/>
    <w:rsid w:val="00134295"/>
    <w:rsid w:val="0013663F"/>
    <w:rsid w:val="00137F62"/>
    <w:rsid w:val="00144495"/>
    <w:rsid w:val="0014774C"/>
    <w:rsid w:val="001516B0"/>
    <w:rsid w:val="001522BD"/>
    <w:rsid w:val="00156FA7"/>
    <w:rsid w:val="00162076"/>
    <w:rsid w:val="0016225F"/>
    <w:rsid w:val="001633C9"/>
    <w:rsid w:val="00164502"/>
    <w:rsid w:val="0016555B"/>
    <w:rsid w:val="00166FD9"/>
    <w:rsid w:val="001778D1"/>
    <w:rsid w:val="001923B3"/>
    <w:rsid w:val="00196A59"/>
    <w:rsid w:val="001A0C50"/>
    <w:rsid w:val="001A277D"/>
    <w:rsid w:val="001A5AF6"/>
    <w:rsid w:val="001B2424"/>
    <w:rsid w:val="001C352D"/>
    <w:rsid w:val="001C4A90"/>
    <w:rsid w:val="001C5570"/>
    <w:rsid w:val="001D068B"/>
    <w:rsid w:val="001D5881"/>
    <w:rsid w:val="001E551A"/>
    <w:rsid w:val="001F1E7C"/>
    <w:rsid w:val="001F2088"/>
    <w:rsid w:val="001F48E2"/>
    <w:rsid w:val="001F5553"/>
    <w:rsid w:val="00201600"/>
    <w:rsid w:val="00223F35"/>
    <w:rsid w:val="00233D04"/>
    <w:rsid w:val="00240BAD"/>
    <w:rsid w:val="0024208C"/>
    <w:rsid w:val="002453AD"/>
    <w:rsid w:val="00246F30"/>
    <w:rsid w:val="00255709"/>
    <w:rsid w:val="0027665C"/>
    <w:rsid w:val="00276D86"/>
    <w:rsid w:val="00294432"/>
    <w:rsid w:val="00295B5A"/>
    <w:rsid w:val="002A4E80"/>
    <w:rsid w:val="002B7DB5"/>
    <w:rsid w:val="002C2477"/>
    <w:rsid w:val="002C34B3"/>
    <w:rsid w:val="002C5CE8"/>
    <w:rsid w:val="002C5DB6"/>
    <w:rsid w:val="002C67E4"/>
    <w:rsid w:val="002E4A2E"/>
    <w:rsid w:val="002E6538"/>
    <w:rsid w:val="002F2AFA"/>
    <w:rsid w:val="00303C22"/>
    <w:rsid w:val="00306987"/>
    <w:rsid w:val="00311C3D"/>
    <w:rsid w:val="00312770"/>
    <w:rsid w:val="00316766"/>
    <w:rsid w:val="00324EFD"/>
    <w:rsid w:val="00334D56"/>
    <w:rsid w:val="0034057D"/>
    <w:rsid w:val="00342CEF"/>
    <w:rsid w:val="0035121E"/>
    <w:rsid w:val="003524BC"/>
    <w:rsid w:val="00353ED6"/>
    <w:rsid w:val="00357DC8"/>
    <w:rsid w:val="00360117"/>
    <w:rsid w:val="003615A1"/>
    <w:rsid w:val="003627ED"/>
    <w:rsid w:val="00363462"/>
    <w:rsid w:val="00364EC1"/>
    <w:rsid w:val="00367247"/>
    <w:rsid w:val="003708E0"/>
    <w:rsid w:val="003737F9"/>
    <w:rsid w:val="003749B9"/>
    <w:rsid w:val="00376333"/>
    <w:rsid w:val="00385555"/>
    <w:rsid w:val="003865BA"/>
    <w:rsid w:val="00386C67"/>
    <w:rsid w:val="003B2DCE"/>
    <w:rsid w:val="003B3EA5"/>
    <w:rsid w:val="003C5E85"/>
    <w:rsid w:val="003D67A9"/>
    <w:rsid w:val="003D7224"/>
    <w:rsid w:val="003E31E4"/>
    <w:rsid w:val="003E522F"/>
    <w:rsid w:val="003F77D3"/>
    <w:rsid w:val="00401255"/>
    <w:rsid w:val="00401C05"/>
    <w:rsid w:val="004034D1"/>
    <w:rsid w:val="00405A09"/>
    <w:rsid w:val="004063E9"/>
    <w:rsid w:val="0042157C"/>
    <w:rsid w:val="00421937"/>
    <w:rsid w:val="00421D21"/>
    <w:rsid w:val="0042220F"/>
    <w:rsid w:val="0042322B"/>
    <w:rsid w:val="00431F84"/>
    <w:rsid w:val="0043549E"/>
    <w:rsid w:val="0043552A"/>
    <w:rsid w:val="00437223"/>
    <w:rsid w:val="00437326"/>
    <w:rsid w:val="00437D97"/>
    <w:rsid w:val="00441B90"/>
    <w:rsid w:val="00454261"/>
    <w:rsid w:val="004604DB"/>
    <w:rsid w:val="0046162A"/>
    <w:rsid w:val="004674B5"/>
    <w:rsid w:val="0047013A"/>
    <w:rsid w:val="00470D24"/>
    <w:rsid w:val="0047110D"/>
    <w:rsid w:val="00472B03"/>
    <w:rsid w:val="004750A0"/>
    <w:rsid w:val="00480B3C"/>
    <w:rsid w:val="00486716"/>
    <w:rsid w:val="00487BD4"/>
    <w:rsid w:val="004903AE"/>
    <w:rsid w:val="004945D9"/>
    <w:rsid w:val="004958A6"/>
    <w:rsid w:val="004A4970"/>
    <w:rsid w:val="004A7720"/>
    <w:rsid w:val="004B173C"/>
    <w:rsid w:val="004C3083"/>
    <w:rsid w:val="004D0DEA"/>
    <w:rsid w:val="004D0FE4"/>
    <w:rsid w:val="004D2ED7"/>
    <w:rsid w:val="004D4258"/>
    <w:rsid w:val="004D559B"/>
    <w:rsid w:val="004E352A"/>
    <w:rsid w:val="004E5388"/>
    <w:rsid w:val="004F7BF9"/>
    <w:rsid w:val="004F7E2B"/>
    <w:rsid w:val="00516A63"/>
    <w:rsid w:val="00523944"/>
    <w:rsid w:val="0052628B"/>
    <w:rsid w:val="00530419"/>
    <w:rsid w:val="005336B6"/>
    <w:rsid w:val="00536DA8"/>
    <w:rsid w:val="00536EF1"/>
    <w:rsid w:val="00542C99"/>
    <w:rsid w:val="0055126B"/>
    <w:rsid w:val="00555AC9"/>
    <w:rsid w:val="00562ED4"/>
    <w:rsid w:val="00573D43"/>
    <w:rsid w:val="00583B54"/>
    <w:rsid w:val="0058441E"/>
    <w:rsid w:val="00584618"/>
    <w:rsid w:val="0058666A"/>
    <w:rsid w:val="00591A87"/>
    <w:rsid w:val="005A0E34"/>
    <w:rsid w:val="005A2E1B"/>
    <w:rsid w:val="005A3AFC"/>
    <w:rsid w:val="005A6DD3"/>
    <w:rsid w:val="005B4029"/>
    <w:rsid w:val="005C1C71"/>
    <w:rsid w:val="005C7DE5"/>
    <w:rsid w:val="005D57C9"/>
    <w:rsid w:val="005D6547"/>
    <w:rsid w:val="005E36D0"/>
    <w:rsid w:val="005E61A3"/>
    <w:rsid w:val="005F140E"/>
    <w:rsid w:val="005F50B9"/>
    <w:rsid w:val="006055F5"/>
    <w:rsid w:val="00605627"/>
    <w:rsid w:val="00615F76"/>
    <w:rsid w:val="00634B0B"/>
    <w:rsid w:val="0064149A"/>
    <w:rsid w:val="00642050"/>
    <w:rsid w:val="0064252A"/>
    <w:rsid w:val="00645EBF"/>
    <w:rsid w:val="00651232"/>
    <w:rsid w:val="00654A77"/>
    <w:rsid w:val="00656112"/>
    <w:rsid w:val="00656519"/>
    <w:rsid w:val="00660236"/>
    <w:rsid w:val="00661C60"/>
    <w:rsid w:val="00663A87"/>
    <w:rsid w:val="0067364D"/>
    <w:rsid w:val="0067687B"/>
    <w:rsid w:val="006808BD"/>
    <w:rsid w:val="006932B9"/>
    <w:rsid w:val="006A2807"/>
    <w:rsid w:val="006A4652"/>
    <w:rsid w:val="006B0D00"/>
    <w:rsid w:val="006C2C0D"/>
    <w:rsid w:val="006D08BC"/>
    <w:rsid w:val="006D3468"/>
    <w:rsid w:val="006D438E"/>
    <w:rsid w:val="006D6FE1"/>
    <w:rsid w:val="006E140A"/>
    <w:rsid w:val="006E3BAE"/>
    <w:rsid w:val="006E68C5"/>
    <w:rsid w:val="006F02B6"/>
    <w:rsid w:val="006F3DFA"/>
    <w:rsid w:val="006F425B"/>
    <w:rsid w:val="00702F70"/>
    <w:rsid w:val="00705AFC"/>
    <w:rsid w:val="007073B3"/>
    <w:rsid w:val="00710258"/>
    <w:rsid w:val="00721757"/>
    <w:rsid w:val="00724DA7"/>
    <w:rsid w:val="007308A5"/>
    <w:rsid w:val="00730F87"/>
    <w:rsid w:val="0073133A"/>
    <w:rsid w:val="00731473"/>
    <w:rsid w:val="00731A7C"/>
    <w:rsid w:val="00735734"/>
    <w:rsid w:val="007432C7"/>
    <w:rsid w:val="0074382B"/>
    <w:rsid w:val="0074408F"/>
    <w:rsid w:val="00753344"/>
    <w:rsid w:val="00753D05"/>
    <w:rsid w:val="00755CF7"/>
    <w:rsid w:val="007569A7"/>
    <w:rsid w:val="007663F3"/>
    <w:rsid w:val="007741F8"/>
    <w:rsid w:val="00776A33"/>
    <w:rsid w:val="007872E7"/>
    <w:rsid w:val="007920FA"/>
    <w:rsid w:val="007A5C10"/>
    <w:rsid w:val="007A7713"/>
    <w:rsid w:val="007B6F9C"/>
    <w:rsid w:val="007C1267"/>
    <w:rsid w:val="007C39A4"/>
    <w:rsid w:val="007C3FEB"/>
    <w:rsid w:val="007D01DC"/>
    <w:rsid w:val="007D15DC"/>
    <w:rsid w:val="007D6EB1"/>
    <w:rsid w:val="007E7DCA"/>
    <w:rsid w:val="007F0F8F"/>
    <w:rsid w:val="007F7D66"/>
    <w:rsid w:val="00806D7B"/>
    <w:rsid w:val="008075D9"/>
    <w:rsid w:val="00807953"/>
    <w:rsid w:val="00820593"/>
    <w:rsid w:val="00820934"/>
    <w:rsid w:val="008225F1"/>
    <w:rsid w:val="00824424"/>
    <w:rsid w:val="00825205"/>
    <w:rsid w:val="0083487A"/>
    <w:rsid w:val="00843F1D"/>
    <w:rsid w:val="00843FFA"/>
    <w:rsid w:val="00847B19"/>
    <w:rsid w:val="00852550"/>
    <w:rsid w:val="0086052A"/>
    <w:rsid w:val="00862292"/>
    <w:rsid w:val="00865D29"/>
    <w:rsid w:val="00865FDE"/>
    <w:rsid w:val="00870FF0"/>
    <w:rsid w:val="008735EA"/>
    <w:rsid w:val="0087797B"/>
    <w:rsid w:val="00881736"/>
    <w:rsid w:val="00885141"/>
    <w:rsid w:val="0089561F"/>
    <w:rsid w:val="008A1FA4"/>
    <w:rsid w:val="008B2C05"/>
    <w:rsid w:val="008C29E6"/>
    <w:rsid w:val="008C55F1"/>
    <w:rsid w:val="008C579A"/>
    <w:rsid w:val="008F209A"/>
    <w:rsid w:val="008F3A33"/>
    <w:rsid w:val="00901FB4"/>
    <w:rsid w:val="009046F0"/>
    <w:rsid w:val="00906FBE"/>
    <w:rsid w:val="00917D86"/>
    <w:rsid w:val="00923C7B"/>
    <w:rsid w:val="0092578F"/>
    <w:rsid w:val="00927A7F"/>
    <w:rsid w:val="00931961"/>
    <w:rsid w:val="00941544"/>
    <w:rsid w:val="009667AA"/>
    <w:rsid w:val="0097690A"/>
    <w:rsid w:val="00977635"/>
    <w:rsid w:val="00992B08"/>
    <w:rsid w:val="00995D17"/>
    <w:rsid w:val="009967B1"/>
    <w:rsid w:val="00997CCD"/>
    <w:rsid w:val="009A7FE5"/>
    <w:rsid w:val="009B54A3"/>
    <w:rsid w:val="009C1B36"/>
    <w:rsid w:val="009D3752"/>
    <w:rsid w:val="009D4AB1"/>
    <w:rsid w:val="009D54B9"/>
    <w:rsid w:val="009D56F8"/>
    <w:rsid w:val="009E3F70"/>
    <w:rsid w:val="009E413B"/>
    <w:rsid w:val="009F26AD"/>
    <w:rsid w:val="009F7F1D"/>
    <w:rsid w:val="00A07E9B"/>
    <w:rsid w:val="00A16C21"/>
    <w:rsid w:val="00A17197"/>
    <w:rsid w:val="00A33547"/>
    <w:rsid w:val="00A3365F"/>
    <w:rsid w:val="00A33B37"/>
    <w:rsid w:val="00A37088"/>
    <w:rsid w:val="00A37EF6"/>
    <w:rsid w:val="00A429CB"/>
    <w:rsid w:val="00A5745B"/>
    <w:rsid w:val="00A672DD"/>
    <w:rsid w:val="00A74620"/>
    <w:rsid w:val="00A946C7"/>
    <w:rsid w:val="00AA2DC4"/>
    <w:rsid w:val="00AB06F7"/>
    <w:rsid w:val="00AB1644"/>
    <w:rsid w:val="00AB52EB"/>
    <w:rsid w:val="00AB5FCB"/>
    <w:rsid w:val="00AC0F4E"/>
    <w:rsid w:val="00AC19D6"/>
    <w:rsid w:val="00AC22F7"/>
    <w:rsid w:val="00AD0A8B"/>
    <w:rsid w:val="00AD4B79"/>
    <w:rsid w:val="00AE1746"/>
    <w:rsid w:val="00AF71CB"/>
    <w:rsid w:val="00B0161B"/>
    <w:rsid w:val="00B1121A"/>
    <w:rsid w:val="00B14678"/>
    <w:rsid w:val="00B337B1"/>
    <w:rsid w:val="00B4141B"/>
    <w:rsid w:val="00B4276B"/>
    <w:rsid w:val="00B42E9F"/>
    <w:rsid w:val="00B454D5"/>
    <w:rsid w:val="00B475BB"/>
    <w:rsid w:val="00B56D2F"/>
    <w:rsid w:val="00B63478"/>
    <w:rsid w:val="00B66254"/>
    <w:rsid w:val="00B73244"/>
    <w:rsid w:val="00B836DF"/>
    <w:rsid w:val="00B86FCC"/>
    <w:rsid w:val="00B9273B"/>
    <w:rsid w:val="00B934B0"/>
    <w:rsid w:val="00B9653A"/>
    <w:rsid w:val="00B978DB"/>
    <w:rsid w:val="00BA0373"/>
    <w:rsid w:val="00BA180A"/>
    <w:rsid w:val="00BC0027"/>
    <w:rsid w:val="00BC7E3A"/>
    <w:rsid w:val="00BD16F9"/>
    <w:rsid w:val="00BD45AF"/>
    <w:rsid w:val="00BD6DE2"/>
    <w:rsid w:val="00BE000C"/>
    <w:rsid w:val="00BE2EE5"/>
    <w:rsid w:val="00BF5F4B"/>
    <w:rsid w:val="00C03D82"/>
    <w:rsid w:val="00C075A5"/>
    <w:rsid w:val="00C10C4F"/>
    <w:rsid w:val="00C133CB"/>
    <w:rsid w:val="00C140F2"/>
    <w:rsid w:val="00C23DB4"/>
    <w:rsid w:val="00C31C41"/>
    <w:rsid w:val="00C50780"/>
    <w:rsid w:val="00C5152E"/>
    <w:rsid w:val="00C538F8"/>
    <w:rsid w:val="00C56269"/>
    <w:rsid w:val="00C57E98"/>
    <w:rsid w:val="00C64BB5"/>
    <w:rsid w:val="00C65810"/>
    <w:rsid w:val="00C70750"/>
    <w:rsid w:val="00C711EA"/>
    <w:rsid w:val="00C77BC4"/>
    <w:rsid w:val="00C807CC"/>
    <w:rsid w:val="00C81A99"/>
    <w:rsid w:val="00C84DA5"/>
    <w:rsid w:val="00C8556A"/>
    <w:rsid w:val="00C90E10"/>
    <w:rsid w:val="00C9273E"/>
    <w:rsid w:val="00C95D74"/>
    <w:rsid w:val="00CA0534"/>
    <w:rsid w:val="00CA0587"/>
    <w:rsid w:val="00CA1086"/>
    <w:rsid w:val="00CA3835"/>
    <w:rsid w:val="00CA40F4"/>
    <w:rsid w:val="00CA47FD"/>
    <w:rsid w:val="00CA7D7B"/>
    <w:rsid w:val="00CC28FA"/>
    <w:rsid w:val="00CE63E0"/>
    <w:rsid w:val="00CF15E6"/>
    <w:rsid w:val="00CF44C7"/>
    <w:rsid w:val="00D019E3"/>
    <w:rsid w:val="00D05AA3"/>
    <w:rsid w:val="00D06291"/>
    <w:rsid w:val="00D1403C"/>
    <w:rsid w:val="00D228D4"/>
    <w:rsid w:val="00D41E21"/>
    <w:rsid w:val="00D42272"/>
    <w:rsid w:val="00D452BC"/>
    <w:rsid w:val="00D45EF1"/>
    <w:rsid w:val="00D47C0C"/>
    <w:rsid w:val="00D50656"/>
    <w:rsid w:val="00D57882"/>
    <w:rsid w:val="00D57D5D"/>
    <w:rsid w:val="00D60FB5"/>
    <w:rsid w:val="00D62B6C"/>
    <w:rsid w:val="00D64AC7"/>
    <w:rsid w:val="00D66ECA"/>
    <w:rsid w:val="00D71906"/>
    <w:rsid w:val="00D73411"/>
    <w:rsid w:val="00D76FF7"/>
    <w:rsid w:val="00D77110"/>
    <w:rsid w:val="00D8204B"/>
    <w:rsid w:val="00D830AD"/>
    <w:rsid w:val="00D86722"/>
    <w:rsid w:val="00D92A62"/>
    <w:rsid w:val="00D93EB3"/>
    <w:rsid w:val="00D96FD9"/>
    <w:rsid w:val="00D9751F"/>
    <w:rsid w:val="00DA0E91"/>
    <w:rsid w:val="00DA3B70"/>
    <w:rsid w:val="00DA62F3"/>
    <w:rsid w:val="00DA7787"/>
    <w:rsid w:val="00DA7A98"/>
    <w:rsid w:val="00DA7BEF"/>
    <w:rsid w:val="00DB5808"/>
    <w:rsid w:val="00DB7639"/>
    <w:rsid w:val="00DC5A25"/>
    <w:rsid w:val="00DD297F"/>
    <w:rsid w:val="00DD3FBF"/>
    <w:rsid w:val="00DE4F0C"/>
    <w:rsid w:val="00DE56F1"/>
    <w:rsid w:val="00DE7369"/>
    <w:rsid w:val="00DF0E19"/>
    <w:rsid w:val="00DF1C1C"/>
    <w:rsid w:val="00E01BE3"/>
    <w:rsid w:val="00E022D3"/>
    <w:rsid w:val="00E038F0"/>
    <w:rsid w:val="00E04374"/>
    <w:rsid w:val="00E11392"/>
    <w:rsid w:val="00E16394"/>
    <w:rsid w:val="00E17BF0"/>
    <w:rsid w:val="00E17EE7"/>
    <w:rsid w:val="00E22F6C"/>
    <w:rsid w:val="00E24DE5"/>
    <w:rsid w:val="00E275CE"/>
    <w:rsid w:val="00E327CD"/>
    <w:rsid w:val="00E3428A"/>
    <w:rsid w:val="00E4560F"/>
    <w:rsid w:val="00E53298"/>
    <w:rsid w:val="00E53EE6"/>
    <w:rsid w:val="00E554CA"/>
    <w:rsid w:val="00E56262"/>
    <w:rsid w:val="00E56378"/>
    <w:rsid w:val="00E63085"/>
    <w:rsid w:val="00E70C62"/>
    <w:rsid w:val="00E77525"/>
    <w:rsid w:val="00E82CD9"/>
    <w:rsid w:val="00E82F51"/>
    <w:rsid w:val="00E925BE"/>
    <w:rsid w:val="00E926EB"/>
    <w:rsid w:val="00E973D8"/>
    <w:rsid w:val="00EA64D8"/>
    <w:rsid w:val="00EA6B83"/>
    <w:rsid w:val="00EC0326"/>
    <w:rsid w:val="00EC4836"/>
    <w:rsid w:val="00EC49C6"/>
    <w:rsid w:val="00ED5E7F"/>
    <w:rsid w:val="00ED79D2"/>
    <w:rsid w:val="00EE07DE"/>
    <w:rsid w:val="00EE2F17"/>
    <w:rsid w:val="00EE3C3C"/>
    <w:rsid w:val="00EE58DB"/>
    <w:rsid w:val="00F01193"/>
    <w:rsid w:val="00F03B8B"/>
    <w:rsid w:val="00F045EF"/>
    <w:rsid w:val="00F04F24"/>
    <w:rsid w:val="00F055BD"/>
    <w:rsid w:val="00F058AD"/>
    <w:rsid w:val="00F05AAD"/>
    <w:rsid w:val="00F0606B"/>
    <w:rsid w:val="00F13A78"/>
    <w:rsid w:val="00F15AFD"/>
    <w:rsid w:val="00F250E3"/>
    <w:rsid w:val="00F33C03"/>
    <w:rsid w:val="00F40929"/>
    <w:rsid w:val="00F46D4F"/>
    <w:rsid w:val="00F56886"/>
    <w:rsid w:val="00F57832"/>
    <w:rsid w:val="00F7166C"/>
    <w:rsid w:val="00F71CAE"/>
    <w:rsid w:val="00F72BC8"/>
    <w:rsid w:val="00F8458E"/>
    <w:rsid w:val="00F962DB"/>
    <w:rsid w:val="00F96803"/>
    <w:rsid w:val="00FA7ED4"/>
    <w:rsid w:val="00FB4EB2"/>
    <w:rsid w:val="00FC3A59"/>
    <w:rsid w:val="00FD7C39"/>
    <w:rsid w:val="00FF4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A93EC"/>
  <w15:docId w15:val="{A3246B01-54AC-4DCB-8DBB-F5E075EE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9A"/>
    <w:pPr>
      <w:spacing w:after="0" w:line="240" w:lineRule="auto"/>
    </w:pPr>
    <w:rPr>
      <w:rFonts w:ascii="Times New Roman" w:eastAsia="Times New Roman" w:hAnsi="Times New Roman" w:cs="Times New Roman"/>
      <w:noProof/>
      <w:kern w:val="0"/>
      <w:sz w:val="24"/>
      <w:szCs w:val="24"/>
      <w:lang w:val="hy-AM" w:eastAsia="ru-RU"/>
      <w14:ligatures w14:val="none"/>
    </w:rPr>
  </w:style>
  <w:style w:type="paragraph" w:styleId="1">
    <w:name w:val="heading 1"/>
    <w:basedOn w:val="a"/>
    <w:next w:val="a"/>
    <w:link w:val="10"/>
    <w:uiPriority w:val="9"/>
    <w:qFormat/>
    <w:rsid w:val="008C5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5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57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57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57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57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57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579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57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7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57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57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57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57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57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579A"/>
    <w:rPr>
      <w:rFonts w:eastAsiaTheme="majorEastAsia" w:cstheme="majorBidi"/>
      <w:color w:val="595959" w:themeColor="text1" w:themeTint="A6"/>
    </w:rPr>
  </w:style>
  <w:style w:type="character" w:customStyle="1" w:styleId="80">
    <w:name w:val="Заголовок 8 Знак"/>
    <w:basedOn w:val="a0"/>
    <w:link w:val="8"/>
    <w:uiPriority w:val="9"/>
    <w:semiHidden/>
    <w:rsid w:val="008C57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579A"/>
    <w:rPr>
      <w:rFonts w:eastAsiaTheme="majorEastAsia" w:cstheme="majorBidi"/>
      <w:color w:val="272727" w:themeColor="text1" w:themeTint="D8"/>
    </w:rPr>
  </w:style>
  <w:style w:type="paragraph" w:styleId="a3">
    <w:name w:val="Title"/>
    <w:basedOn w:val="a"/>
    <w:next w:val="a"/>
    <w:link w:val="a4"/>
    <w:uiPriority w:val="10"/>
    <w:qFormat/>
    <w:rsid w:val="008C579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5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7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57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579A"/>
    <w:pPr>
      <w:spacing w:before="160"/>
      <w:jc w:val="center"/>
    </w:pPr>
    <w:rPr>
      <w:i/>
      <w:iCs/>
      <w:color w:val="404040" w:themeColor="text1" w:themeTint="BF"/>
    </w:rPr>
  </w:style>
  <w:style w:type="character" w:customStyle="1" w:styleId="22">
    <w:name w:val="Цитата 2 Знак"/>
    <w:basedOn w:val="a0"/>
    <w:link w:val="21"/>
    <w:uiPriority w:val="29"/>
    <w:rsid w:val="008C579A"/>
    <w:rPr>
      <w:i/>
      <w:iCs/>
      <w:color w:val="404040" w:themeColor="text1" w:themeTint="BF"/>
    </w:rPr>
  </w:style>
  <w:style w:type="paragraph" w:styleId="a7">
    <w:name w:val="List Paragraph"/>
    <w:aliases w:val="List Paragraph (numbered (a)),Akapit z listą BS,Bullets,List Paragraph1,Heading,Dot pt,F5 List Paragraph,No Spacing1,List Paragraph Char Char Char,Indicator Text,Numbered Para 1,Bullet 1,Bullet Points,List Paragraph2,MAIN CONTENT,WB Para"/>
    <w:basedOn w:val="a"/>
    <w:link w:val="a8"/>
    <w:uiPriority w:val="99"/>
    <w:qFormat/>
    <w:rsid w:val="008C579A"/>
    <w:pPr>
      <w:ind w:left="720"/>
      <w:contextualSpacing/>
    </w:pPr>
  </w:style>
  <w:style w:type="character" w:styleId="a9">
    <w:name w:val="Intense Emphasis"/>
    <w:basedOn w:val="a0"/>
    <w:uiPriority w:val="21"/>
    <w:qFormat/>
    <w:rsid w:val="008C579A"/>
    <w:rPr>
      <w:i/>
      <w:iCs/>
      <w:color w:val="0F4761" w:themeColor="accent1" w:themeShade="BF"/>
    </w:rPr>
  </w:style>
  <w:style w:type="paragraph" w:styleId="aa">
    <w:name w:val="Intense Quote"/>
    <w:basedOn w:val="a"/>
    <w:next w:val="a"/>
    <w:link w:val="ab"/>
    <w:uiPriority w:val="30"/>
    <w:qFormat/>
    <w:rsid w:val="008C5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C579A"/>
    <w:rPr>
      <w:i/>
      <w:iCs/>
      <w:color w:val="0F4761" w:themeColor="accent1" w:themeShade="BF"/>
    </w:rPr>
  </w:style>
  <w:style w:type="character" w:styleId="ac">
    <w:name w:val="Intense Reference"/>
    <w:basedOn w:val="a0"/>
    <w:uiPriority w:val="32"/>
    <w:qFormat/>
    <w:rsid w:val="008C579A"/>
    <w:rPr>
      <w:b/>
      <w:bCs/>
      <w:smallCaps/>
      <w:color w:val="0F4761" w:themeColor="accent1" w:themeShade="BF"/>
      <w:spacing w:val="5"/>
    </w:rPr>
  </w:style>
  <w:style w:type="table" w:styleId="ad">
    <w:name w:val="Table Grid"/>
    <w:basedOn w:val="a1"/>
    <w:uiPriority w:val="39"/>
    <w:rsid w:val="008C5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iPriority w:val="99"/>
    <w:unhideWhenUsed/>
    <w:rsid w:val="002453AD"/>
    <w:rPr>
      <w:rFonts w:ascii="Calibri" w:eastAsiaTheme="minorHAnsi" w:hAnsi="Calibri" w:cs="Consolas"/>
      <w:noProof w:val="0"/>
      <w:sz w:val="22"/>
      <w:szCs w:val="21"/>
      <w:lang w:val="en-US" w:eastAsia="en-US"/>
    </w:rPr>
  </w:style>
  <w:style w:type="character" w:customStyle="1" w:styleId="af">
    <w:name w:val="Текст Знак"/>
    <w:basedOn w:val="a0"/>
    <w:link w:val="ae"/>
    <w:uiPriority w:val="99"/>
    <w:rsid w:val="002453AD"/>
    <w:rPr>
      <w:rFonts w:ascii="Calibri" w:hAnsi="Calibri" w:cs="Consolas"/>
      <w:kern w:val="0"/>
      <w:szCs w:val="21"/>
      <w14:ligatures w14:val="none"/>
    </w:rPr>
  </w:style>
  <w:style w:type="character" w:styleId="af0">
    <w:name w:val="Hyperlink"/>
    <w:basedOn w:val="a0"/>
    <w:uiPriority w:val="99"/>
    <w:rsid w:val="00DE4F0C"/>
    <w:rPr>
      <w:color w:val="0000FF"/>
      <w:u w:val="single"/>
    </w:rPr>
  </w:style>
  <w:style w:type="paragraph" w:customStyle="1" w:styleId="Normal1">
    <w:name w:val="Normal1"/>
    <w:qFormat/>
    <w:rsid w:val="003C5E85"/>
    <w:pPr>
      <w:spacing w:before="100" w:beforeAutospacing="1" w:line="254" w:lineRule="auto"/>
    </w:pPr>
    <w:rPr>
      <w:rFonts w:ascii="Calibri" w:eastAsia="Times New Roman" w:hAnsi="Calibri" w:cs="Times New Roman"/>
      <w:kern w:val="0"/>
      <w14:ligatures w14:val="none"/>
    </w:rPr>
  </w:style>
  <w:style w:type="character" w:customStyle="1" w:styleId="UnresolvedMention1">
    <w:name w:val="Unresolved Mention1"/>
    <w:basedOn w:val="a0"/>
    <w:uiPriority w:val="99"/>
    <w:semiHidden/>
    <w:unhideWhenUsed/>
    <w:rsid w:val="008F209A"/>
    <w:rPr>
      <w:color w:val="605E5C"/>
      <w:shd w:val="clear" w:color="auto" w:fill="E1DFDD"/>
    </w:rPr>
  </w:style>
  <w:style w:type="character" w:customStyle="1" w:styleId="a8">
    <w:name w:val="Абзац списка Знак"/>
    <w:aliases w:val="List Paragraph (numbered (a)) Знак,Akapit z listą BS Знак,Bullets Знак,List Paragraph1 Знак,Heading Знак,Dot pt Знак,F5 List Paragraph Знак,No Spacing1 Знак,List Paragraph Char Char Char Знак,Indicator Text Знак,Numbered Para 1 Знак"/>
    <w:link w:val="a7"/>
    <w:uiPriority w:val="34"/>
    <w:qFormat/>
    <w:locked/>
    <w:rsid w:val="00C711EA"/>
    <w:rPr>
      <w:rFonts w:ascii="Times New Roman" w:eastAsia="Times New Roman" w:hAnsi="Times New Roman" w:cs="Times New Roman"/>
      <w:noProof/>
      <w:kern w:val="0"/>
      <w:sz w:val="24"/>
      <w:szCs w:val="24"/>
      <w:lang w:val="hy-AM" w:eastAsia="ru-RU"/>
      <w14:ligatures w14:val="none"/>
    </w:rPr>
  </w:style>
  <w:style w:type="paragraph" w:styleId="af1">
    <w:name w:val="Body Text"/>
    <w:basedOn w:val="a"/>
    <w:link w:val="af2"/>
    <w:unhideWhenUsed/>
    <w:rsid w:val="00C711EA"/>
    <w:pPr>
      <w:spacing w:after="120"/>
    </w:pPr>
    <w:rPr>
      <w:noProof w:val="0"/>
      <w:lang w:val="en-US" w:eastAsia="en-US"/>
    </w:rPr>
  </w:style>
  <w:style w:type="character" w:customStyle="1" w:styleId="af2">
    <w:name w:val="Основной текст Знак"/>
    <w:basedOn w:val="a0"/>
    <w:link w:val="af1"/>
    <w:rsid w:val="00C711EA"/>
    <w:rPr>
      <w:rFonts w:ascii="Times New Roman" w:eastAsia="Times New Roman" w:hAnsi="Times New Roman" w:cs="Times New Roman"/>
      <w:kern w:val="0"/>
      <w:sz w:val="24"/>
      <w:szCs w:val="24"/>
      <w14:ligatures w14:val="none"/>
    </w:rPr>
  </w:style>
  <w:style w:type="paragraph" w:customStyle="1" w:styleId="Para">
    <w:name w:val="Para"/>
    <w:basedOn w:val="a"/>
    <w:autoRedefine/>
    <w:rsid w:val="00D62B6C"/>
    <w:pPr>
      <w:numPr>
        <w:numId w:val="1"/>
      </w:numPr>
      <w:tabs>
        <w:tab w:val="left" w:pos="270"/>
        <w:tab w:val="left" w:pos="5560"/>
      </w:tabs>
      <w:spacing w:before="80" w:after="80"/>
      <w:ind w:left="725"/>
    </w:pPr>
    <w:rPr>
      <w:rFonts w:asciiTheme="minorHAnsi" w:hAnsiTheme="minorHAnsi"/>
      <w:iCs/>
      <w:noProof w:val="0"/>
      <w:position w:val="6"/>
      <w:sz w:val="20"/>
      <w:szCs w:val="20"/>
      <w:lang w:eastAsia="en-US"/>
    </w:rPr>
  </w:style>
  <w:style w:type="table" w:customStyle="1" w:styleId="PlainTable11">
    <w:name w:val="Plain Table 11"/>
    <w:basedOn w:val="a1"/>
    <w:uiPriority w:val="41"/>
    <w:rsid w:val="00C711E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a"/>
    <w:rsid w:val="00C711EA"/>
    <w:pPr>
      <w:spacing w:before="100" w:beforeAutospacing="1" w:after="100" w:afterAutospacing="1"/>
    </w:pPr>
    <w:rPr>
      <w:noProof w:val="0"/>
      <w:lang w:val="en-US" w:eastAsia="en-US"/>
    </w:rPr>
  </w:style>
  <w:style w:type="paragraph" w:styleId="af3">
    <w:name w:val="Body Text Indent"/>
    <w:basedOn w:val="a"/>
    <w:link w:val="af4"/>
    <w:uiPriority w:val="99"/>
    <w:semiHidden/>
    <w:unhideWhenUsed/>
    <w:rsid w:val="00C95D74"/>
    <w:pPr>
      <w:spacing w:after="120"/>
      <w:ind w:left="360"/>
    </w:pPr>
  </w:style>
  <w:style w:type="character" w:customStyle="1" w:styleId="af4">
    <w:name w:val="Основной текст с отступом Знак"/>
    <w:basedOn w:val="a0"/>
    <w:link w:val="af3"/>
    <w:uiPriority w:val="99"/>
    <w:rsid w:val="00C95D74"/>
    <w:rPr>
      <w:rFonts w:ascii="Times New Roman" w:eastAsia="Times New Roman" w:hAnsi="Times New Roman" w:cs="Times New Roman"/>
      <w:noProof/>
      <w:kern w:val="0"/>
      <w:sz w:val="24"/>
      <w:szCs w:val="24"/>
      <w:lang w:val="hy-AM" w:eastAsia="ru-RU"/>
      <w14:ligatures w14:val="none"/>
    </w:rPr>
  </w:style>
  <w:style w:type="paragraph" w:styleId="af5">
    <w:name w:val="caption"/>
    <w:basedOn w:val="a"/>
    <w:next w:val="a"/>
    <w:unhideWhenUsed/>
    <w:qFormat/>
    <w:rsid w:val="00881736"/>
    <w:pPr>
      <w:spacing w:after="200"/>
    </w:pPr>
    <w:rPr>
      <w:b/>
      <w:bCs/>
      <w:noProof w:val="0"/>
      <w:color w:val="156082" w:themeColor="accent1"/>
      <w:sz w:val="18"/>
      <w:szCs w:val="18"/>
      <w:lang w:val="en-US" w:eastAsia="en-US"/>
    </w:rPr>
  </w:style>
  <w:style w:type="paragraph" w:styleId="af6">
    <w:name w:val="header"/>
    <w:basedOn w:val="a"/>
    <w:link w:val="af7"/>
    <w:uiPriority w:val="99"/>
    <w:unhideWhenUsed/>
    <w:rsid w:val="00F055BD"/>
    <w:pPr>
      <w:tabs>
        <w:tab w:val="center" w:pos="4680"/>
        <w:tab w:val="right" w:pos="9360"/>
      </w:tabs>
    </w:pPr>
  </w:style>
  <w:style w:type="character" w:customStyle="1" w:styleId="af7">
    <w:name w:val="Верхний колонтитул Знак"/>
    <w:basedOn w:val="a0"/>
    <w:link w:val="af6"/>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af8">
    <w:name w:val="footer"/>
    <w:basedOn w:val="a"/>
    <w:link w:val="af9"/>
    <w:uiPriority w:val="99"/>
    <w:unhideWhenUsed/>
    <w:rsid w:val="00F055BD"/>
    <w:pPr>
      <w:tabs>
        <w:tab w:val="center" w:pos="4680"/>
        <w:tab w:val="right" w:pos="9360"/>
      </w:tabs>
    </w:pPr>
  </w:style>
  <w:style w:type="character" w:customStyle="1" w:styleId="af9">
    <w:name w:val="Нижний колонтитул Знак"/>
    <w:basedOn w:val="a0"/>
    <w:link w:val="af8"/>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31">
    <w:name w:val="Body Text Indent 3"/>
    <w:basedOn w:val="a"/>
    <w:link w:val="32"/>
    <w:uiPriority w:val="99"/>
    <w:semiHidden/>
    <w:unhideWhenUsed/>
    <w:rsid w:val="00E925BE"/>
    <w:pPr>
      <w:spacing w:after="120"/>
      <w:ind w:left="360"/>
    </w:pPr>
    <w:rPr>
      <w:sz w:val="16"/>
      <w:szCs w:val="16"/>
    </w:rPr>
  </w:style>
  <w:style w:type="character" w:customStyle="1" w:styleId="32">
    <w:name w:val="Основной текст с отступом 3 Знак"/>
    <w:basedOn w:val="a0"/>
    <w:link w:val="31"/>
    <w:uiPriority w:val="99"/>
    <w:semiHidden/>
    <w:rsid w:val="00E925BE"/>
    <w:rPr>
      <w:rFonts w:ascii="Times New Roman" w:eastAsia="Times New Roman" w:hAnsi="Times New Roman" w:cs="Times New Roman"/>
      <w:noProof/>
      <w:kern w:val="0"/>
      <w:sz w:val="16"/>
      <w:szCs w:val="16"/>
      <w:lang w:val="hy-AM" w:eastAsia="ru-RU"/>
      <w14:ligatures w14:val="none"/>
    </w:rPr>
  </w:style>
  <w:style w:type="paragraph" w:customStyle="1" w:styleId="norm">
    <w:name w:val="norm"/>
    <w:basedOn w:val="a"/>
    <w:uiPriority w:val="99"/>
    <w:rsid w:val="00E925BE"/>
    <w:pPr>
      <w:spacing w:line="480" w:lineRule="auto"/>
      <w:ind w:firstLine="709"/>
      <w:jc w:val="both"/>
    </w:pPr>
    <w:rPr>
      <w:rFonts w:ascii="Arial Armenian" w:hAnsi="Arial Armenian"/>
      <w:noProof w:val="0"/>
      <w:sz w:val="22"/>
      <w:szCs w:val="20"/>
      <w:lang w:val="en-US"/>
    </w:rPr>
  </w:style>
  <w:style w:type="character" w:styleId="afa">
    <w:name w:val="Emphasis"/>
    <w:basedOn w:val="a0"/>
    <w:qFormat/>
    <w:rsid w:val="00E925BE"/>
    <w:rPr>
      <w:i/>
      <w:iCs/>
    </w:rPr>
  </w:style>
  <w:style w:type="character" w:styleId="afb">
    <w:name w:val="FollowedHyperlink"/>
    <w:basedOn w:val="a0"/>
    <w:uiPriority w:val="99"/>
    <w:semiHidden/>
    <w:unhideWhenUsed/>
    <w:rsid w:val="001F1E7C"/>
    <w:rPr>
      <w:color w:val="96607D" w:themeColor="followedHyperlink"/>
      <w:u w:val="single"/>
    </w:rPr>
  </w:style>
  <w:style w:type="paragraph" w:styleId="afc">
    <w:name w:val="Revision"/>
    <w:hidden/>
    <w:uiPriority w:val="99"/>
    <w:semiHidden/>
    <w:rsid w:val="0092578F"/>
    <w:pPr>
      <w:spacing w:after="0" w:line="240" w:lineRule="auto"/>
    </w:pPr>
    <w:rPr>
      <w:rFonts w:ascii="Times New Roman" w:eastAsia="Times New Roman" w:hAnsi="Times New Roman" w:cs="Times New Roman"/>
      <w:noProof/>
      <w:kern w:val="0"/>
      <w:sz w:val="24"/>
      <w:szCs w:val="24"/>
      <w:lang w:val="hy-AM" w:eastAsia="ru-RU"/>
      <w14:ligatures w14:val="none"/>
    </w:rPr>
  </w:style>
  <w:style w:type="character" w:styleId="afd">
    <w:name w:val="annotation reference"/>
    <w:basedOn w:val="a0"/>
    <w:uiPriority w:val="99"/>
    <w:semiHidden/>
    <w:unhideWhenUsed/>
    <w:rsid w:val="00E327CD"/>
    <w:rPr>
      <w:sz w:val="16"/>
      <w:szCs w:val="16"/>
    </w:rPr>
  </w:style>
  <w:style w:type="paragraph" w:styleId="afe">
    <w:name w:val="annotation text"/>
    <w:basedOn w:val="a"/>
    <w:link w:val="aff"/>
    <w:uiPriority w:val="99"/>
    <w:unhideWhenUsed/>
    <w:rsid w:val="00E327CD"/>
    <w:rPr>
      <w:sz w:val="20"/>
      <w:szCs w:val="20"/>
    </w:rPr>
  </w:style>
  <w:style w:type="character" w:customStyle="1" w:styleId="aff">
    <w:name w:val="Текст примечания Знак"/>
    <w:basedOn w:val="a0"/>
    <w:link w:val="afe"/>
    <w:uiPriority w:val="99"/>
    <w:rsid w:val="00E327CD"/>
    <w:rPr>
      <w:rFonts w:ascii="Times New Roman" w:eastAsia="Times New Roman" w:hAnsi="Times New Roman" w:cs="Times New Roman"/>
      <w:noProof/>
      <w:kern w:val="0"/>
      <w:sz w:val="20"/>
      <w:szCs w:val="20"/>
      <w:lang w:val="hy-AM" w:eastAsia="ru-RU"/>
      <w14:ligatures w14:val="none"/>
    </w:rPr>
  </w:style>
  <w:style w:type="paragraph" w:styleId="aff0">
    <w:name w:val="annotation subject"/>
    <w:basedOn w:val="afe"/>
    <w:next w:val="afe"/>
    <w:link w:val="aff1"/>
    <w:uiPriority w:val="99"/>
    <w:semiHidden/>
    <w:unhideWhenUsed/>
    <w:rsid w:val="00E327CD"/>
    <w:rPr>
      <w:b/>
      <w:bCs/>
    </w:rPr>
  </w:style>
  <w:style w:type="character" w:customStyle="1" w:styleId="aff1">
    <w:name w:val="Тема примечания Знак"/>
    <w:basedOn w:val="aff"/>
    <w:link w:val="aff0"/>
    <w:uiPriority w:val="99"/>
    <w:semiHidden/>
    <w:rsid w:val="00E327CD"/>
    <w:rPr>
      <w:rFonts w:ascii="Times New Roman" w:eastAsia="Times New Roman" w:hAnsi="Times New Roman" w:cs="Times New Roman"/>
      <w:b/>
      <w:bCs/>
      <w:noProof/>
      <w:kern w:val="0"/>
      <w:sz w:val="20"/>
      <w:szCs w:val="20"/>
      <w:lang w:val="hy-AM" w:eastAsia="ru-RU"/>
      <w14:ligatures w14:val="none"/>
    </w:rPr>
  </w:style>
  <w:style w:type="paragraph" w:styleId="aff2">
    <w:name w:val="Balloon Text"/>
    <w:basedOn w:val="a"/>
    <w:link w:val="aff3"/>
    <w:uiPriority w:val="99"/>
    <w:semiHidden/>
    <w:unhideWhenUsed/>
    <w:rsid w:val="00421937"/>
    <w:rPr>
      <w:rFonts w:ascii="Tahoma" w:hAnsi="Tahoma" w:cs="Tahoma"/>
      <w:sz w:val="16"/>
      <w:szCs w:val="16"/>
    </w:rPr>
  </w:style>
  <w:style w:type="character" w:customStyle="1" w:styleId="aff3">
    <w:name w:val="Текст выноски Знак"/>
    <w:basedOn w:val="a0"/>
    <w:link w:val="aff2"/>
    <w:uiPriority w:val="99"/>
    <w:semiHidden/>
    <w:rsid w:val="00421937"/>
    <w:rPr>
      <w:rFonts w:ascii="Tahoma" w:eastAsia="Times New Roman" w:hAnsi="Tahoma" w:cs="Tahoma"/>
      <w:noProof/>
      <w:kern w:val="0"/>
      <w:sz w:val="16"/>
      <w:szCs w:val="16"/>
      <w:lang w:val="hy-AM" w:eastAsia="ru-RU"/>
      <w14:ligatures w14:val="none"/>
    </w:rPr>
  </w:style>
  <w:style w:type="paragraph" w:styleId="aff4">
    <w:name w:val="Normal (Web)"/>
    <w:basedOn w:val="a"/>
    <w:uiPriority w:val="99"/>
    <w:semiHidden/>
    <w:unhideWhenUsed/>
    <w:rsid w:val="00B63478"/>
  </w:style>
  <w:style w:type="character" w:customStyle="1" w:styleId="sr-only">
    <w:name w:val="sr-only"/>
    <w:basedOn w:val="a0"/>
    <w:rsid w:val="00E01BE3"/>
  </w:style>
  <w:style w:type="character" w:styleId="aff5">
    <w:name w:val="Strong"/>
    <w:basedOn w:val="a0"/>
    <w:uiPriority w:val="22"/>
    <w:qFormat/>
    <w:rsid w:val="006E140A"/>
    <w:rPr>
      <w:b/>
      <w:bCs/>
    </w:rPr>
  </w:style>
  <w:style w:type="paragraph" w:styleId="aff6">
    <w:name w:val="footnote text"/>
    <w:basedOn w:val="a"/>
    <w:link w:val="aff7"/>
    <w:uiPriority w:val="99"/>
    <w:semiHidden/>
    <w:unhideWhenUsed/>
    <w:rsid w:val="00E53298"/>
    <w:rPr>
      <w:rFonts w:asciiTheme="minorHAnsi" w:eastAsiaTheme="minorHAnsi" w:hAnsiTheme="minorHAnsi" w:cstheme="minorBidi"/>
      <w:noProof w:val="0"/>
      <w:kern w:val="2"/>
      <w:sz w:val="20"/>
      <w:szCs w:val="20"/>
      <w:lang w:val="en-US" w:eastAsia="en-US"/>
      <w14:ligatures w14:val="standardContextual"/>
    </w:rPr>
  </w:style>
  <w:style w:type="character" w:customStyle="1" w:styleId="aff7">
    <w:name w:val="Текст сноски Знак"/>
    <w:basedOn w:val="a0"/>
    <w:link w:val="aff6"/>
    <w:uiPriority w:val="99"/>
    <w:semiHidden/>
    <w:rsid w:val="00E53298"/>
    <w:rPr>
      <w:sz w:val="20"/>
      <w:szCs w:val="20"/>
    </w:rPr>
  </w:style>
  <w:style w:type="character" w:styleId="aff8">
    <w:name w:val="footnote reference"/>
    <w:basedOn w:val="a0"/>
    <w:uiPriority w:val="99"/>
    <w:semiHidden/>
    <w:unhideWhenUsed/>
    <w:rsid w:val="00E53298"/>
    <w:rPr>
      <w:vertAlign w:val="superscript"/>
    </w:rPr>
  </w:style>
  <w:style w:type="paragraph" w:styleId="aff9">
    <w:name w:val="TOC Heading"/>
    <w:basedOn w:val="1"/>
    <w:next w:val="a"/>
    <w:uiPriority w:val="39"/>
    <w:unhideWhenUsed/>
    <w:qFormat/>
    <w:rsid w:val="00E53298"/>
    <w:pPr>
      <w:spacing w:before="240" w:after="0" w:line="259" w:lineRule="auto"/>
      <w:outlineLvl w:val="9"/>
    </w:pPr>
    <w:rPr>
      <w:noProof w:val="0"/>
      <w:sz w:val="32"/>
      <w:szCs w:val="32"/>
      <w:lang w:val="en-US" w:eastAsia="en-US"/>
    </w:rPr>
  </w:style>
  <w:style w:type="paragraph" w:styleId="11">
    <w:name w:val="toc 1"/>
    <w:basedOn w:val="a"/>
    <w:next w:val="a"/>
    <w:autoRedefine/>
    <w:uiPriority w:val="39"/>
    <w:unhideWhenUsed/>
    <w:rsid w:val="00E53298"/>
    <w:pPr>
      <w:tabs>
        <w:tab w:val="left" w:pos="450"/>
        <w:tab w:val="right" w:leader="dot" w:pos="9350"/>
      </w:tabs>
      <w:spacing w:after="100" w:line="278" w:lineRule="auto"/>
    </w:pPr>
    <w:rPr>
      <w:rFonts w:asciiTheme="minorHAnsi" w:eastAsiaTheme="minorHAnsi" w:hAnsiTheme="minorHAnsi" w:cstheme="minorBidi"/>
      <w:noProof w:val="0"/>
      <w:kern w:val="2"/>
      <w:lang w:val="en-US" w:eastAsia="en-US"/>
      <w14:ligatures w14:val="standardContextual"/>
    </w:rPr>
  </w:style>
  <w:style w:type="paragraph" w:styleId="23">
    <w:name w:val="toc 2"/>
    <w:basedOn w:val="a"/>
    <w:next w:val="a"/>
    <w:autoRedefine/>
    <w:uiPriority w:val="39"/>
    <w:unhideWhenUsed/>
    <w:rsid w:val="00E53298"/>
    <w:pPr>
      <w:tabs>
        <w:tab w:val="left" w:pos="630"/>
        <w:tab w:val="right" w:leader="dot" w:pos="9350"/>
      </w:tabs>
      <w:spacing w:after="100" w:line="278" w:lineRule="auto"/>
      <w:ind w:left="630" w:hanging="390"/>
    </w:pPr>
    <w:rPr>
      <w:rFonts w:asciiTheme="minorHAnsi" w:eastAsiaTheme="minorHAnsi" w:hAnsiTheme="minorHAnsi" w:cstheme="minorBidi"/>
      <w:noProof w:val="0"/>
      <w:kern w:val="2"/>
      <w:lang w:val="en-US" w:eastAsia="en-US"/>
      <w14:ligatures w14:val="standardContextual"/>
    </w:rPr>
  </w:style>
  <w:style w:type="table" w:customStyle="1" w:styleId="-411">
    <w:name w:val="Таблица-сетка 4 — акцент 11"/>
    <w:basedOn w:val="a1"/>
    <w:uiPriority w:val="49"/>
    <w:rsid w:val="00BF5F4B"/>
    <w:pPr>
      <w:spacing w:after="0" w:line="240" w:lineRule="auto"/>
    </w:pPr>
    <w:rPr>
      <w:rFonts w:ascii="DejaVu Sans" w:eastAsia="DejaVu Sans" w:hAnsi="DejaVu Sans" w:cs="DejaVu Sans"/>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11">
    <w:name w:val="Grid Table 4 - Accent 11"/>
    <w:basedOn w:val="a1"/>
    <w:uiPriority w:val="49"/>
    <w:rsid w:val="005C1C71"/>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0850">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895971316">
      <w:bodyDiv w:val="1"/>
      <w:marLeft w:val="0"/>
      <w:marRight w:val="0"/>
      <w:marTop w:val="0"/>
      <w:marBottom w:val="0"/>
      <w:divBdr>
        <w:top w:val="none" w:sz="0" w:space="0" w:color="auto"/>
        <w:left w:val="none" w:sz="0" w:space="0" w:color="auto"/>
        <w:bottom w:val="none" w:sz="0" w:space="0" w:color="auto"/>
        <w:right w:val="none" w:sz="0" w:space="0" w:color="auto"/>
      </w:divBdr>
    </w:div>
    <w:div w:id="1012488235">
      <w:bodyDiv w:val="1"/>
      <w:marLeft w:val="0"/>
      <w:marRight w:val="0"/>
      <w:marTop w:val="0"/>
      <w:marBottom w:val="0"/>
      <w:divBdr>
        <w:top w:val="none" w:sz="0" w:space="0" w:color="auto"/>
        <w:left w:val="none" w:sz="0" w:space="0" w:color="auto"/>
        <w:bottom w:val="none" w:sz="0" w:space="0" w:color="auto"/>
        <w:right w:val="none" w:sz="0" w:space="0" w:color="auto"/>
      </w:divBdr>
    </w:div>
    <w:div w:id="1057511231">
      <w:bodyDiv w:val="1"/>
      <w:marLeft w:val="0"/>
      <w:marRight w:val="0"/>
      <w:marTop w:val="0"/>
      <w:marBottom w:val="0"/>
      <w:divBdr>
        <w:top w:val="none" w:sz="0" w:space="0" w:color="auto"/>
        <w:left w:val="none" w:sz="0" w:space="0" w:color="auto"/>
        <w:bottom w:val="none" w:sz="0" w:space="0" w:color="auto"/>
        <w:right w:val="none" w:sz="0" w:space="0" w:color="auto"/>
      </w:divBdr>
      <w:divsChild>
        <w:div w:id="69546863">
          <w:marLeft w:val="0"/>
          <w:marRight w:val="0"/>
          <w:marTop w:val="0"/>
          <w:marBottom w:val="0"/>
          <w:divBdr>
            <w:top w:val="none" w:sz="0" w:space="0" w:color="auto"/>
            <w:left w:val="none" w:sz="0" w:space="0" w:color="auto"/>
            <w:bottom w:val="none" w:sz="0" w:space="0" w:color="auto"/>
            <w:right w:val="none" w:sz="0" w:space="0" w:color="auto"/>
          </w:divBdr>
          <w:divsChild>
            <w:div w:id="134110985">
              <w:marLeft w:val="0"/>
              <w:marRight w:val="0"/>
              <w:marTop w:val="0"/>
              <w:marBottom w:val="0"/>
              <w:divBdr>
                <w:top w:val="none" w:sz="0" w:space="0" w:color="auto"/>
                <w:left w:val="none" w:sz="0" w:space="0" w:color="auto"/>
                <w:bottom w:val="none" w:sz="0" w:space="0" w:color="auto"/>
                <w:right w:val="none" w:sz="0" w:space="0" w:color="auto"/>
              </w:divBdr>
              <w:divsChild>
                <w:div w:id="2103640481">
                  <w:marLeft w:val="0"/>
                  <w:marRight w:val="0"/>
                  <w:marTop w:val="0"/>
                  <w:marBottom w:val="0"/>
                  <w:divBdr>
                    <w:top w:val="none" w:sz="0" w:space="0" w:color="auto"/>
                    <w:left w:val="none" w:sz="0" w:space="0" w:color="auto"/>
                    <w:bottom w:val="none" w:sz="0" w:space="0" w:color="auto"/>
                    <w:right w:val="none" w:sz="0" w:space="0" w:color="auto"/>
                  </w:divBdr>
                  <w:divsChild>
                    <w:div w:id="482744952">
                      <w:marLeft w:val="0"/>
                      <w:marRight w:val="0"/>
                      <w:marTop w:val="0"/>
                      <w:marBottom w:val="0"/>
                      <w:divBdr>
                        <w:top w:val="none" w:sz="0" w:space="0" w:color="auto"/>
                        <w:left w:val="none" w:sz="0" w:space="0" w:color="auto"/>
                        <w:bottom w:val="none" w:sz="0" w:space="0" w:color="auto"/>
                        <w:right w:val="none" w:sz="0" w:space="0" w:color="auto"/>
                      </w:divBdr>
                      <w:divsChild>
                        <w:div w:id="1482968931">
                          <w:marLeft w:val="0"/>
                          <w:marRight w:val="0"/>
                          <w:marTop w:val="0"/>
                          <w:marBottom w:val="0"/>
                          <w:divBdr>
                            <w:top w:val="none" w:sz="0" w:space="0" w:color="auto"/>
                            <w:left w:val="none" w:sz="0" w:space="0" w:color="auto"/>
                            <w:bottom w:val="none" w:sz="0" w:space="0" w:color="auto"/>
                            <w:right w:val="none" w:sz="0" w:space="0" w:color="auto"/>
                          </w:divBdr>
                          <w:divsChild>
                            <w:div w:id="11944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8128">
                  <w:marLeft w:val="0"/>
                  <w:marRight w:val="0"/>
                  <w:marTop w:val="0"/>
                  <w:marBottom w:val="0"/>
                  <w:divBdr>
                    <w:top w:val="none" w:sz="0" w:space="0" w:color="auto"/>
                    <w:left w:val="none" w:sz="0" w:space="0" w:color="auto"/>
                    <w:bottom w:val="none" w:sz="0" w:space="0" w:color="auto"/>
                    <w:right w:val="none" w:sz="0" w:space="0" w:color="auto"/>
                  </w:divBdr>
                  <w:divsChild>
                    <w:div w:id="2663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4851">
      <w:bodyDiv w:val="1"/>
      <w:marLeft w:val="0"/>
      <w:marRight w:val="0"/>
      <w:marTop w:val="0"/>
      <w:marBottom w:val="0"/>
      <w:divBdr>
        <w:top w:val="none" w:sz="0" w:space="0" w:color="auto"/>
        <w:left w:val="none" w:sz="0" w:space="0" w:color="auto"/>
        <w:bottom w:val="none" w:sz="0" w:space="0" w:color="auto"/>
        <w:right w:val="none" w:sz="0" w:space="0" w:color="auto"/>
      </w:divBdr>
    </w:div>
    <w:div w:id="1316761000">
      <w:bodyDiv w:val="1"/>
      <w:marLeft w:val="0"/>
      <w:marRight w:val="0"/>
      <w:marTop w:val="0"/>
      <w:marBottom w:val="0"/>
      <w:divBdr>
        <w:top w:val="none" w:sz="0" w:space="0" w:color="auto"/>
        <w:left w:val="none" w:sz="0" w:space="0" w:color="auto"/>
        <w:bottom w:val="none" w:sz="0" w:space="0" w:color="auto"/>
        <w:right w:val="none" w:sz="0" w:space="0" w:color="auto"/>
      </w:divBdr>
    </w:div>
    <w:div w:id="1325162982">
      <w:bodyDiv w:val="1"/>
      <w:marLeft w:val="0"/>
      <w:marRight w:val="0"/>
      <w:marTop w:val="0"/>
      <w:marBottom w:val="0"/>
      <w:divBdr>
        <w:top w:val="none" w:sz="0" w:space="0" w:color="auto"/>
        <w:left w:val="none" w:sz="0" w:space="0" w:color="auto"/>
        <w:bottom w:val="none" w:sz="0" w:space="0" w:color="auto"/>
        <w:right w:val="none" w:sz="0" w:space="0" w:color="auto"/>
      </w:divBdr>
    </w:div>
    <w:div w:id="1482504168">
      <w:bodyDiv w:val="1"/>
      <w:marLeft w:val="0"/>
      <w:marRight w:val="0"/>
      <w:marTop w:val="0"/>
      <w:marBottom w:val="0"/>
      <w:divBdr>
        <w:top w:val="none" w:sz="0" w:space="0" w:color="auto"/>
        <w:left w:val="none" w:sz="0" w:space="0" w:color="auto"/>
        <w:bottom w:val="none" w:sz="0" w:space="0" w:color="auto"/>
        <w:right w:val="none" w:sz="0" w:space="0" w:color="auto"/>
      </w:divBdr>
    </w:div>
    <w:div w:id="1482692076">
      <w:bodyDiv w:val="1"/>
      <w:marLeft w:val="0"/>
      <w:marRight w:val="0"/>
      <w:marTop w:val="0"/>
      <w:marBottom w:val="0"/>
      <w:divBdr>
        <w:top w:val="none" w:sz="0" w:space="0" w:color="auto"/>
        <w:left w:val="none" w:sz="0" w:space="0" w:color="auto"/>
        <w:bottom w:val="none" w:sz="0" w:space="0" w:color="auto"/>
        <w:right w:val="none" w:sz="0" w:space="0" w:color="auto"/>
      </w:divBdr>
    </w:div>
    <w:div w:id="21278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epiu.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p.org/armenia/publications/conservation-and-sus&#1380;tainable-management-land-resources-and-high-value-ecosystems-lake-sevan-basin-multiple-benefi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ocurement@epiu.am" TargetMode="External"/><Relationship Id="rId10" Type="http://schemas.openxmlformats.org/officeDocument/2006/relationships/hyperlink" Target="https://www.onlinedoctranslator.com/en/?utm_source=onlinedoctranslator&amp;utm_medium=docx&amp;utm_campaign=attribution"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hyperlink" Target="mailto:procurement@epiu.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68DFE-A07B-4363-8056-47C36918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17</Pages>
  <Words>5954</Words>
  <Characters>33938</Characters>
  <Application>Microsoft Office Word</Application>
  <DocSecurity>0</DocSecurity>
  <Lines>282</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Учетная запись Майкрософт</cp:lastModifiedBy>
  <cp:revision>65</cp:revision>
  <dcterms:created xsi:type="dcterms:W3CDTF">2025-07-30T05:42:00Z</dcterms:created>
  <dcterms:modified xsi:type="dcterms:W3CDTF">2026-05-11T13:08:00Z</dcterms:modified>
</cp:coreProperties>
</file>