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A0C68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BA0C68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BA0C68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BA0C68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BA0C68" w:rsidRDefault="005D7DF1" w:rsidP="00797060">
      <w:pPr>
        <w:tabs>
          <w:tab w:val="left" w:pos="6804"/>
        </w:tabs>
        <w:ind w:left="-360" w:hanging="567"/>
        <w:jc w:val="both"/>
        <w:rPr>
          <w:rFonts w:ascii="GHEA Grapalat" w:hAnsi="GHEA Grapalat"/>
          <w:color w:val="000000" w:themeColor="text1"/>
          <w:sz w:val="20"/>
        </w:rPr>
      </w:pPr>
      <w:r w:rsidRPr="00BA0C68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BA0C68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BA0C68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BA0C68">
        <w:rPr>
          <w:rFonts w:ascii="GHEA Grapalat" w:hAnsi="GHEA Grapalat"/>
          <w:color w:val="000000" w:themeColor="text1"/>
          <w:sz w:val="20"/>
        </w:rPr>
        <w:t>№</w:t>
      </w:r>
      <w:r w:rsidR="00C32E2F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BA0C68">
        <w:rPr>
          <w:rFonts w:ascii="GHEA Grapalat" w:hAnsi="GHEA Grapalat"/>
          <w:color w:val="000000" w:themeColor="text1"/>
          <w:sz w:val="20"/>
        </w:rPr>
        <w:t>&lt;&lt;</w:t>
      </w:r>
      <w:r w:rsidR="00CF43FF" w:rsidRPr="00BA0C68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BA0C68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BA0C68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BA0C68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BA0C68" w:rsidRPr="00BA0C68">
        <w:rPr>
          <w:rFonts w:ascii="GHEA Grapalat" w:hAnsi="GHEA Grapalat"/>
          <w:color w:val="000000" w:themeColor="text1"/>
          <w:sz w:val="20"/>
          <w:lang w:val="es-ES"/>
        </w:rPr>
        <w:t>26</w:t>
      </w:r>
      <w:r w:rsidR="001E7067" w:rsidRPr="00BA0C68">
        <w:rPr>
          <w:rFonts w:ascii="GHEA Grapalat" w:hAnsi="GHEA Grapalat"/>
          <w:color w:val="000000" w:themeColor="text1"/>
          <w:sz w:val="20"/>
        </w:rPr>
        <w:t>&gt;&gt;</w:t>
      </w:r>
      <w:r w:rsidR="005461BC" w:rsidRPr="00BA0C68">
        <w:rPr>
          <w:rFonts w:ascii="GHEA Grapalat" w:hAnsi="GHEA Grapalat"/>
          <w:color w:val="000000" w:themeColor="text1"/>
          <w:sz w:val="20"/>
        </w:rPr>
        <w:t>, заключенном 20</w:t>
      </w:r>
      <w:r w:rsidRPr="00BA0C68">
        <w:rPr>
          <w:rFonts w:ascii="GHEA Grapalat" w:hAnsi="GHEA Grapalat"/>
          <w:color w:val="000000" w:themeColor="text1"/>
          <w:sz w:val="20"/>
        </w:rPr>
        <w:t>20</w:t>
      </w:r>
      <w:r w:rsidR="00813E23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BA0C68">
        <w:rPr>
          <w:rFonts w:ascii="GHEA Grapalat" w:hAnsi="GHEA Grapalat"/>
          <w:color w:val="000000" w:themeColor="text1"/>
          <w:sz w:val="20"/>
        </w:rPr>
        <w:t xml:space="preserve">года </w:t>
      </w:r>
      <w:r w:rsidR="00BA0C68" w:rsidRPr="00BA0C68">
        <w:rPr>
          <w:rFonts w:ascii="GHEA Grapalat" w:hAnsi="GHEA Grapalat"/>
          <w:color w:val="000000" w:themeColor="text1"/>
          <w:sz w:val="20"/>
        </w:rPr>
        <w:t>09</w:t>
      </w:r>
      <w:r w:rsidR="00675FA7" w:rsidRPr="00BA0C68">
        <w:rPr>
          <w:rFonts w:ascii="GHEA Grapalat" w:hAnsi="GHEA Grapalat"/>
          <w:color w:val="000000" w:themeColor="text1"/>
          <w:sz w:val="20"/>
        </w:rPr>
        <w:t xml:space="preserve"> июня</w:t>
      </w:r>
      <w:r w:rsidR="004D6D53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BA0C68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BA0C68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BA0C68">
        <w:rPr>
          <w:rFonts w:ascii="GHEA Grapalat" w:hAnsi="GHEA Grapalat"/>
          <w:color w:val="000000" w:themeColor="text1"/>
          <w:sz w:val="20"/>
        </w:rPr>
        <w:t>д</w:t>
      </w:r>
      <w:r w:rsidR="008F36E5" w:rsidRPr="00BA0C68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BA0C68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BA0C68">
        <w:rPr>
          <w:rFonts w:ascii="GHEA Grapalat" w:hAnsi="GHEA Grapalat"/>
          <w:color w:val="000000" w:themeColor="text1"/>
          <w:sz w:val="20"/>
        </w:rPr>
        <w:t>№</w:t>
      </w:r>
      <w:r w:rsidR="00C77EF3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BA0C68">
        <w:rPr>
          <w:rFonts w:ascii="GHEA Grapalat" w:hAnsi="GHEA Grapalat"/>
          <w:color w:val="000000" w:themeColor="text1"/>
          <w:sz w:val="20"/>
        </w:rPr>
        <w:t>&lt;&lt;</w:t>
      </w:r>
      <w:r w:rsidR="00CF43FF" w:rsidRPr="00BA0C68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EF1107" w:rsidRPr="00BA0C68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BA0C68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BA0C68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BA0C68" w:rsidRPr="00BA0C68">
        <w:rPr>
          <w:rFonts w:ascii="GHEA Grapalat" w:hAnsi="GHEA Grapalat"/>
          <w:color w:val="000000" w:themeColor="text1"/>
          <w:sz w:val="20"/>
          <w:lang w:val="es-ES"/>
        </w:rPr>
        <w:t>26</w:t>
      </w:r>
      <w:r w:rsidR="001E7067" w:rsidRPr="00BA0C68">
        <w:rPr>
          <w:rFonts w:ascii="GHEA Grapalat" w:hAnsi="GHEA Grapalat"/>
          <w:color w:val="000000" w:themeColor="text1"/>
          <w:sz w:val="20"/>
        </w:rPr>
        <w:t>&gt;&gt;</w:t>
      </w:r>
      <w:r w:rsidR="008F36E5" w:rsidRPr="00BA0C68">
        <w:rPr>
          <w:rFonts w:ascii="GHEA Grapalat" w:hAnsi="GHEA Grapalat"/>
          <w:color w:val="000000" w:themeColor="text1"/>
          <w:sz w:val="20"/>
        </w:rPr>
        <w:t>,</w:t>
      </w:r>
      <w:r w:rsidR="001E7067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BA0C68">
        <w:rPr>
          <w:rFonts w:ascii="GHEA Grapalat" w:hAnsi="GHEA Grapalat"/>
          <w:color w:val="000000" w:themeColor="text1"/>
          <w:sz w:val="20"/>
        </w:rPr>
        <w:t>орг</w:t>
      </w:r>
      <w:r w:rsidR="00620A72" w:rsidRPr="00BA0C68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BA0C68" w:rsidRPr="00BA0C68">
        <w:rPr>
          <w:rFonts w:ascii="GHEA Grapalat" w:hAnsi="GHEA Grapalat" w:hint="eastAsia"/>
          <w:color w:val="000000" w:themeColor="text1"/>
          <w:sz w:val="20"/>
        </w:rPr>
        <w:t>готовые</w:t>
      </w:r>
      <w:r w:rsidR="00BA0C68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BA0C68" w:rsidRPr="00BA0C68">
        <w:rPr>
          <w:rFonts w:ascii="GHEA Grapalat" w:hAnsi="GHEA Grapalat" w:hint="eastAsia"/>
          <w:color w:val="000000" w:themeColor="text1"/>
          <w:sz w:val="20"/>
        </w:rPr>
        <w:t>блюда</w:t>
      </w:r>
      <w:r w:rsidR="00E44B15"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BA0C68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461BC" w:rsidRPr="00BA0C6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BA0C68">
        <w:rPr>
          <w:rFonts w:ascii="GHEA Grapalat" w:hAnsi="GHEA Grapalat"/>
          <w:color w:val="000000" w:themeColor="text1"/>
          <w:sz w:val="20"/>
        </w:rPr>
        <w:t xml:space="preserve"> </w:t>
      </w:r>
      <w:r w:rsidRPr="00BA0C68">
        <w:rPr>
          <w:rFonts w:ascii="GHEA Grapalat" w:hAnsi="GHEA Grapalat"/>
          <w:color w:val="000000" w:themeColor="text1"/>
          <w:sz w:val="20"/>
        </w:rPr>
        <w:tab/>
      </w:r>
      <w:r w:rsidRPr="00BA0C68">
        <w:rPr>
          <w:rFonts w:ascii="GHEA Grapalat" w:hAnsi="GHEA Grapalat"/>
          <w:color w:val="000000" w:themeColor="text1"/>
          <w:sz w:val="20"/>
        </w:rPr>
        <w:tab/>
      </w:r>
      <w:r w:rsidRPr="00BA0C68">
        <w:rPr>
          <w:rFonts w:ascii="GHEA Grapalat" w:hAnsi="GHEA Grapalat"/>
          <w:color w:val="000000" w:themeColor="text1"/>
          <w:sz w:val="20"/>
        </w:rPr>
        <w:tab/>
      </w:r>
      <w:r w:rsidRPr="00BA0C68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BA0C68" w:rsidRPr="00BA0C68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BA0C6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BA0C6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BA0C68" w:rsidRPr="00BA0C68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BA0C6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BA0C6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A0C6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BA0C6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BA0C6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A0C6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BA0C6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A0C68" w:rsidRPr="00BA0C68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BA0C6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BA0C6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BA0C6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F073F" w:rsidRPr="00BA0C6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A0C6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BA0C6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A0C6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A0C6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A0C6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E44B15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D6D53" w:rsidRPr="00BA0C68" w:rsidRDefault="004D6D53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BA0C68" w:rsidRDefault="00BA0C68" w:rsidP="00E44B1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готовые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блюда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BA0C68" w:rsidRDefault="004D6D53" w:rsidP="005D7DF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штук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BA0C68" w:rsidRDefault="004D6D53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BA0C68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BA0C68" w:rsidRDefault="004D6D53" w:rsidP="00F93124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BA0C68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BA0C68" w:rsidRDefault="00BA0C68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42</w:t>
            </w:r>
            <w:r w:rsidR="004D6D5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D53" w:rsidRPr="00BA0C68" w:rsidRDefault="00BA0C68" w:rsidP="00F232A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42</w:t>
            </w:r>
            <w:r w:rsidR="004D6D5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один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день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максимум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четырнадцать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дней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13:00.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Готовые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блюда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включают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себя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: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часть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супа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мясного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блюда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раздел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выпускной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салата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хлеба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фруктового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компота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</w:p>
          <w:p w:rsidR="004D6D53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Если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течение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периода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поставки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доставка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требуется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Покупатель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обязуется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уведомить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Продавца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отправив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короткое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сообщение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номер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телефона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Продавца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098 224033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18:00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дня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предшествующего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этому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дню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один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день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максимум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четырнадцать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дней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13:00.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Готовые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блюда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включают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себя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: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часть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супа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мясного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блюда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раздел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выпускной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г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салата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хлеба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,</w:t>
            </w:r>
          </w:p>
          <w:p w:rsidR="00BA0C68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(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) 1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порция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фруктового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компота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</w:p>
          <w:p w:rsidR="004D6D53" w:rsidRPr="00BA0C68" w:rsidRDefault="00BA0C68" w:rsidP="00BA0C6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Если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течение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периода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поставки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доставка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требуется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Покупатель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обязуется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уведомить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Продавца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отправив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короткое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сообщение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номер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телефона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Продавца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098 224033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18:00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дня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,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предшествующего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этому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6"/>
                <w:szCs w:val="16"/>
              </w:rPr>
              <w:t>дню</w:t>
            </w:r>
            <w:r w:rsidRPr="00BA0C68">
              <w:rPr>
                <w:rFonts w:ascii="GHEA Grapalat" w:hAnsi="GHEA Grapalat" w:cs="Sylfaen"/>
                <w:color w:val="000000" w:themeColor="text1"/>
                <w:sz w:val="16"/>
                <w:szCs w:val="16"/>
              </w:rPr>
              <w:t>.</w:t>
            </w:r>
          </w:p>
        </w:tc>
      </w:tr>
      <w:tr w:rsidR="00BA0C68" w:rsidRPr="00BA0C68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A0C6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BA0C68" w:rsidRPr="00BA0C68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A0C68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A0C68" w:rsidRDefault="00AF2A8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BA0C6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BA0C6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BA0C68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BA0C68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BA0C68" w:rsidRPr="00BA0C68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A0C6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A0C6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A0C68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</w:t>
            </w:r>
            <w:r w:rsidR="005068D1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</w:t>
            </w: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="00CF43FF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A0C6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A0C68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A0C6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BA0C68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BA0C68" w:rsidRDefault="0003576D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A0C68" w:rsidRPr="00BA0C68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4"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BA0C68" w:rsidRPr="00BA0C68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BA0C68" w:rsidRPr="00BA0C68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BA0C68" w:rsidRPr="00BA0C68" w:rsidTr="00DD32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03576D" w:rsidRPr="00BA0C6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03576D" w:rsidRPr="00BA0C68" w:rsidRDefault="0003576D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675FA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5A4E83" w:rsidRPr="00BA0C68" w:rsidRDefault="005A4E83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5A4E83" w:rsidRPr="00BA0C68" w:rsidRDefault="00BA0C68" w:rsidP="006E34A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Редди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Стеди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5A4E83" w:rsidRPr="00BA0C68" w:rsidRDefault="00BA0C68" w:rsidP="00E034A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42</w:t>
            </w:r>
            <w:r w:rsidR="00675FA7"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5A4E83" w:rsidRPr="00BA0C68" w:rsidRDefault="00BA0C68" w:rsidP="00E034A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42</w:t>
            </w:r>
            <w:r w:rsidR="00675FA7"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A4E83" w:rsidRPr="00BA0C68" w:rsidRDefault="00675FA7" w:rsidP="00E034A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A4E83" w:rsidRPr="00BA0C68" w:rsidRDefault="00675FA7" w:rsidP="00E034AA">
            <w:pPr>
              <w:rPr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5A4E83" w:rsidRPr="00BA0C68" w:rsidRDefault="00BA0C68" w:rsidP="00675FA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42</w:t>
            </w:r>
            <w:r w:rsidR="00675FA7"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5A4E83" w:rsidRPr="00BA0C68" w:rsidRDefault="00BA0C68" w:rsidP="00675FA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42</w:t>
            </w:r>
            <w:r w:rsidR="00675FA7"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BA0C68" w:rsidRPr="00BA0C68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BA0C68" w:rsidRPr="00BA0C68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A0C68" w:rsidRPr="00BA0C68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BA0C68" w:rsidRPr="00BA0C68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03576D" w:rsidRPr="00BA0C68" w:rsidRDefault="0003576D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03576D" w:rsidRPr="00BA0C68" w:rsidRDefault="0003576D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A0C68" w:rsidRPr="00BA0C68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576D" w:rsidRPr="00BA0C68" w:rsidRDefault="0003576D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576D" w:rsidRPr="00BA0C68" w:rsidRDefault="0003576D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BA0C68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882C21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A0C68" w:rsidRPr="00BA0C68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D22687" w:rsidRPr="00BA0C68" w:rsidRDefault="00D2268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A0C68" w:rsidRPr="00BA0C68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3239" w:rsidRPr="00BA0C68" w:rsidRDefault="00DD323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239" w:rsidRPr="00BA0C68" w:rsidRDefault="00DD3239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344"/>
          <w:jc w:val="center"/>
        </w:trPr>
        <w:tc>
          <w:tcPr>
            <w:tcW w:w="475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BA0C68" w:rsidRDefault="005A4E83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BA0C68" w:rsidRDefault="00BA0C68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A0C68" w:rsidRPr="00BA0C68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E83" w:rsidRPr="00BA0C68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A4E83" w:rsidRPr="00BA0C68" w:rsidRDefault="00BA0C68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4D6D5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4D6D5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A0C68" w:rsidRPr="00BA0C68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BA0C68" w:rsidRDefault="005A4E83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4E83" w:rsidRPr="00BA0C68" w:rsidRDefault="00BA0C68" w:rsidP="00E034A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4D6D5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4D6D5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5A4E83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5A4E83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D22687" w:rsidRPr="00BA0C68" w:rsidRDefault="00D22687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BA0C68" w:rsidRPr="00BA0C68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Крайний срок </w:t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BA0C68" w:rsidRPr="00BA0C68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BA0C68" w:rsidRPr="00BA0C68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BA0C68" w:rsidRPr="00BA0C68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975A0" w:rsidRPr="00BA0C68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3975A0" w:rsidRPr="00BA0C68" w:rsidRDefault="00BA0C68" w:rsidP="00850B1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Редди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Стеди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3975A0" w:rsidRPr="00BA0C68" w:rsidRDefault="003975A0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&lt;&lt;ՄԱ-ԱՊՁԲ-ՀՀԿ-20/</w:t>
            </w:r>
            <w:r w:rsidR="00BA0C68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26</w:t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975A0" w:rsidRPr="00BA0C68" w:rsidRDefault="00BA0C68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09</w:t>
            </w:r>
            <w:r w:rsidR="00AA1467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AA1467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  <w:r w:rsidR="003975A0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3975A0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3975A0"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975A0" w:rsidRPr="00BA0C68" w:rsidRDefault="003975A0" w:rsidP="0031322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975A0" w:rsidRPr="00BA0C68" w:rsidRDefault="003975A0" w:rsidP="007B3C8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975A0" w:rsidRPr="00BA0C68" w:rsidRDefault="00BA0C68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42</w:t>
            </w:r>
            <w:r w:rsidR="00AA1467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3975A0" w:rsidRPr="00BA0C68" w:rsidRDefault="00BA0C68" w:rsidP="00E034A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42</w:t>
            </w:r>
            <w:r w:rsidR="00AA1467" w:rsidRPr="00BA0C6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BA0C68" w:rsidRPr="00BA0C68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A0C68" w:rsidRPr="00BA0C68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BA0C68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BA0C68" w:rsidRPr="00BA0C68" w:rsidTr="00DD3239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C68" w:rsidRPr="00BA0C68" w:rsidRDefault="00BA0C68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C68" w:rsidRPr="00BA0C68" w:rsidRDefault="00BA0C68" w:rsidP="00F04D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Редди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Стеди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C68" w:rsidRPr="00BA0C68" w:rsidRDefault="00BA0C68" w:rsidP="00AA1467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Ереван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, 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BA0C6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Бурназян</w:t>
            </w:r>
            <w:proofErr w:type="spellEnd"/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7</w:t>
            </w:r>
          </w:p>
          <w:p w:rsidR="00BA0C68" w:rsidRPr="00BA0C68" w:rsidRDefault="00BA0C68" w:rsidP="00BA0C68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proofErr w:type="spellStart"/>
            <w:r w:rsidRPr="00BA0C68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  <w:lang w:val="es-ES"/>
              </w:rPr>
              <w:t>Тел</w:t>
            </w:r>
            <w:proofErr w:type="spellEnd"/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 xml:space="preserve">.  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098 22-40-33</w:t>
            </w:r>
          </w:p>
          <w:p w:rsidR="00BA0C68" w:rsidRPr="00BA0C68" w:rsidRDefault="00BA0C68" w:rsidP="00AA1467">
            <w:pPr>
              <w:widowControl w:val="0"/>
              <w:spacing w:line="276" w:lineRule="auto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C68" w:rsidRPr="00BA0C68" w:rsidRDefault="00BA0C68" w:rsidP="003D4FD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BA0C68">
              <w:rPr>
                <w:rFonts w:ascii="Arial" w:hAnsi="Arial" w:cs="Arial"/>
                <w:color w:val="000000" w:themeColor="text1"/>
                <w:sz w:val="14"/>
                <w:szCs w:val="14"/>
                <w:lang w:val="pt-BR"/>
              </w:rPr>
              <w:t>redi-stedi@mail.ru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C68" w:rsidRPr="00BA0C68" w:rsidRDefault="00BA0C68" w:rsidP="003D4FD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220533332767000</w:t>
            </w:r>
          </w:p>
          <w:p w:rsidR="00BA0C68" w:rsidRPr="00BA0C68" w:rsidRDefault="00BA0C68" w:rsidP="003D4FD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C68" w:rsidRPr="00BA0C68" w:rsidRDefault="00BA0C68" w:rsidP="003D4FD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00851011</w:t>
            </w: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A0C68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A0C68" w:rsidRDefault="00D2268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22687" w:rsidRPr="00BA0C68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22687" w:rsidRPr="00BA0C68" w:rsidRDefault="00D2268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22687" w:rsidRPr="00BA0C68" w:rsidRDefault="00D22687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22687" w:rsidRPr="00BA0C68" w:rsidRDefault="00D22687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A0C68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22687" w:rsidRPr="00BA0C68" w:rsidRDefault="00D22687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A0C68" w:rsidRPr="00BA0C68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22687" w:rsidRPr="00BA0C68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A0C68" w:rsidRPr="00BA0C68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2687" w:rsidRPr="00BA0C68" w:rsidRDefault="00D226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A0C6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BA0C68" w:rsidRPr="00BA0C68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D22687" w:rsidRPr="00BA0C68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22687" w:rsidRPr="00BA0C68" w:rsidRDefault="00DD3239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22687" w:rsidRPr="00BA0C68" w:rsidRDefault="00E70C0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BA0C68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BA0C68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BA0C68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BA0C68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BA0C68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BA0C68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BA0C68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BA0C68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  <w:bookmarkEnd w:id="0"/>
    </w:p>
    <w:sectPr w:rsidR="00371957" w:rsidRPr="00BA0C68" w:rsidSect="0061137D">
      <w:footerReference w:type="even" r:id="rId9"/>
      <w:footerReference w:type="default" r:id="rId10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5E" w:rsidRDefault="00A4565E">
      <w:r>
        <w:separator/>
      </w:r>
    </w:p>
  </w:endnote>
  <w:endnote w:type="continuationSeparator" w:id="0">
    <w:p w:rsidR="00A4565E" w:rsidRDefault="00A4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87" w:rsidRDefault="00D226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2687" w:rsidRDefault="00D226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2687" w:rsidRPr="008257B0" w:rsidRDefault="00D226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A0C6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5E" w:rsidRDefault="00A4565E">
      <w:r>
        <w:separator/>
      </w:r>
    </w:p>
  </w:footnote>
  <w:footnote w:type="continuationSeparator" w:id="0">
    <w:p w:rsidR="00A4565E" w:rsidRDefault="00A4565E">
      <w:r>
        <w:continuationSeparator/>
      </w:r>
    </w:p>
  </w:footnote>
  <w:footnote w:id="1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22687" w:rsidRPr="004C584B" w:rsidRDefault="00D2268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22687" w:rsidRPr="004C584B" w:rsidRDefault="00D22687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4574"/>
    <w:rsid w:val="00075FE5"/>
    <w:rsid w:val="00082455"/>
    <w:rsid w:val="0008374E"/>
    <w:rsid w:val="0009038B"/>
    <w:rsid w:val="00092285"/>
    <w:rsid w:val="0009444C"/>
    <w:rsid w:val="00095B7E"/>
    <w:rsid w:val="000A1BDB"/>
    <w:rsid w:val="000B3F73"/>
    <w:rsid w:val="000C210A"/>
    <w:rsid w:val="000C36DD"/>
    <w:rsid w:val="000D2565"/>
    <w:rsid w:val="000D3C84"/>
    <w:rsid w:val="000E312B"/>
    <w:rsid w:val="000E517F"/>
    <w:rsid w:val="000F0E82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852"/>
    <w:rsid w:val="00341CA5"/>
    <w:rsid w:val="00344006"/>
    <w:rsid w:val="00345C5A"/>
    <w:rsid w:val="0035269C"/>
    <w:rsid w:val="003531F5"/>
    <w:rsid w:val="00360627"/>
    <w:rsid w:val="00362046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975A0"/>
    <w:rsid w:val="003A2718"/>
    <w:rsid w:val="003A3E47"/>
    <w:rsid w:val="003B24BE"/>
    <w:rsid w:val="003B2BED"/>
    <w:rsid w:val="003C0293"/>
    <w:rsid w:val="003D17D0"/>
    <w:rsid w:val="003D3C21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D53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4E8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604A2D"/>
    <w:rsid w:val="0061137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5FA7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23B7"/>
    <w:rsid w:val="006D0C89"/>
    <w:rsid w:val="006D4D49"/>
    <w:rsid w:val="006D60A9"/>
    <w:rsid w:val="006E341E"/>
    <w:rsid w:val="006E34AF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7060"/>
    <w:rsid w:val="007A44B1"/>
    <w:rsid w:val="007A5C36"/>
    <w:rsid w:val="007A795B"/>
    <w:rsid w:val="007B4C0F"/>
    <w:rsid w:val="007B5608"/>
    <w:rsid w:val="007B5733"/>
    <w:rsid w:val="007B6C31"/>
    <w:rsid w:val="007C3B03"/>
    <w:rsid w:val="007C7163"/>
    <w:rsid w:val="007D1BF8"/>
    <w:rsid w:val="007E20C5"/>
    <w:rsid w:val="007F0193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5825"/>
    <w:rsid w:val="008503C1"/>
    <w:rsid w:val="00850B13"/>
    <w:rsid w:val="0085169A"/>
    <w:rsid w:val="0085228E"/>
    <w:rsid w:val="00866D01"/>
    <w:rsid w:val="00871366"/>
    <w:rsid w:val="00874380"/>
    <w:rsid w:val="00880A2D"/>
    <w:rsid w:val="00880BB3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D3C"/>
    <w:rsid w:val="009C43FB"/>
    <w:rsid w:val="009C63F4"/>
    <w:rsid w:val="009D308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4565E"/>
    <w:rsid w:val="00A611FE"/>
    <w:rsid w:val="00A70700"/>
    <w:rsid w:val="00AA1467"/>
    <w:rsid w:val="00AA698E"/>
    <w:rsid w:val="00AB1F7F"/>
    <w:rsid w:val="00AB253E"/>
    <w:rsid w:val="00AB2D08"/>
    <w:rsid w:val="00AC31BE"/>
    <w:rsid w:val="00AC7F6F"/>
    <w:rsid w:val="00AD5F58"/>
    <w:rsid w:val="00AE44F0"/>
    <w:rsid w:val="00AE7C17"/>
    <w:rsid w:val="00AF2A88"/>
    <w:rsid w:val="00B036F7"/>
    <w:rsid w:val="00B06F5C"/>
    <w:rsid w:val="00B10495"/>
    <w:rsid w:val="00B16C9D"/>
    <w:rsid w:val="00B21464"/>
    <w:rsid w:val="00B21822"/>
    <w:rsid w:val="00B21916"/>
    <w:rsid w:val="00B232DE"/>
    <w:rsid w:val="00B31ED6"/>
    <w:rsid w:val="00B34A30"/>
    <w:rsid w:val="00B45438"/>
    <w:rsid w:val="00B5159F"/>
    <w:rsid w:val="00B5440A"/>
    <w:rsid w:val="00B5525A"/>
    <w:rsid w:val="00B57B6C"/>
    <w:rsid w:val="00B70E56"/>
    <w:rsid w:val="00B7192A"/>
    <w:rsid w:val="00B737D5"/>
    <w:rsid w:val="00B7414D"/>
    <w:rsid w:val="00B85E41"/>
    <w:rsid w:val="00B97F20"/>
    <w:rsid w:val="00BA0C68"/>
    <w:rsid w:val="00BA3F8F"/>
    <w:rsid w:val="00BA5C97"/>
    <w:rsid w:val="00BA6E3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2E2F"/>
    <w:rsid w:val="00C34EC1"/>
    <w:rsid w:val="00C36D92"/>
    <w:rsid w:val="00C51538"/>
    <w:rsid w:val="00C54035"/>
    <w:rsid w:val="00C56677"/>
    <w:rsid w:val="00C63DF5"/>
    <w:rsid w:val="00C66303"/>
    <w:rsid w:val="00C72D90"/>
    <w:rsid w:val="00C77EF3"/>
    <w:rsid w:val="00C862C8"/>
    <w:rsid w:val="00C868EC"/>
    <w:rsid w:val="00C90538"/>
    <w:rsid w:val="00C926B7"/>
    <w:rsid w:val="00CA19F4"/>
    <w:rsid w:val="00CA386C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23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22D7A"/>
    <w:rsid w:val="00F22EBC"/>
    <w:rsid w:val="00F232AC"/>
    <w:rsid w:val="00F23628"/>
    <w:rsid w:val="00F313A6"/>
    <w:rsid w:val="00F408C7"/>
    <w:rsid w:val="00F50A9B"/>
    <w:rsid w:val="00F50FBC"/>
    <w:rsid w:val="00F52AE1"/>
    <w:rsid w:val="00F546D9"/>
    <w:rsid w:val="00F570A9"/>
    <w:rsid w:val="00F63219"/>
    <w:rsid w:val="00F712F6"/>
    <w:rsid w:val="00F714E0"/>
    <w:rsid w:val="00F74CA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B7D29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BF4EF-2850-4D9F-9B22-BEAEFD72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73</cp:revision>
  <cp:lastPrinted>2020-06-10T06:40:00Z</cp:lastPrinted>
  <dcterms:created xsi:type="dcterms:W3CDTF">2018-08-09T07:28:00Z</dcterms:created>
  <dcterms:modified xsi:type="dcterms:W3CDTF">2020-06-10T06:42:00Z</dcterms:modified>
</cp:coreProperties>
</file>