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CD72758" w:rsidR="0022631D" w:rsidRPr="006D1B63" w:rsidRDefault="008F18BE" w:rsidP="00842D5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Hlk223031307"/>
      <w:r w:rsidR="005E2957" w:rsidRPr="005E2957">
        <w:rPr>
          <w:rFonts w:ascii="GHEA Grapalat" w:hAnsi="GHEA Grapalat"/>
          <w:b/>
          <w:bCs/>
          <w:sz w:val="20"/>
          <w:szCs w:val="20"/>
          <w:lang w:val="af-ZA"/>
        </w:rPr>
        <w:t>Տեղային արտածծման օդափոխության համակարգ</w:t>
      </w:r>
      <w:bookmarkEnd w:id="0"/>
      <w:r w:rsidR="005E2957">
        <w:rPr>
          <w:rFonts w:ascii="GHEA Grapalat" w:hAnsi="GHEA Grapalat"/>
          <w:b/>
          <w:bCs/>
          <w:sz w:val="20"/>
          <w:szCs w:val="20"/>
          <w:lang w:val="ru-RU"/>
        </w:rPr>
        <w:t>ի</w:t>
      </w:r>
      <w:r w:rsidR="005E295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5E2957" w:rsidRPr="005E29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26/05</w:t>
      </w:r>
      <w:r w:rsidR="006C0B34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310"/>
        <w:gridCol w:w="284"/>
        <w:gridCol w:w="62"/>
        <w:gridCol w:w="221"/>
        <w:gridCol w:w="346"/>
        <w:gridCol w:w="211"/>
        <w:gridCol w:w="10"/>
        <w:gridCol w:w="346"/>
        <w:gridCol w:w="29"/>
        <w:gridCol w:w="250"/>
        <w:gridCol w:w="226"/>
        <w:gridCol w:w="140"/>
        <w:gridCol w:w="768"/>
        <w:gridCol w:w="226"/>
        <w:gridCol w:w="196"/>
        <w:gridCol w:w="229"/>
        <w:gridCol w:w="579"/>
        <w:gridCol w:w="342"/>
        <w:gridCol w:w="267"/>
        <w:gridCol w:w="88"/>
        <w:gridCol w:w="466"/>
        <w:gridCol w:w="101"/>
        <w:gridCol w:w="141"/>
        <w:gridCol w:w="381"/>
        <w:gridCol w:w="8"/>
        <w:gridCol w:w="7"/>
        <w:gridCol w:w="830"/>
        <w:gridCol w:w="254"/>
        <w:gridCol w:w="930"/>
      </w:tblGrid>
      <w:tr w:rsidR="00EA6B8A" w:rsidRPr="00C90707" w14:paraId="3BCB0F4A" w14:textId="77777777" w:rsidTr="00FF2C25">
        <w:trPr>
          <w:trHeight w:val="146"/>
        </w:trPr>
        <w:tc>
          <w:tcPr>
            <w:tcW w:w="630" w:type="dxa"/>
            <w:vAlign w:val="center"/>
          </w:tcPr>
          <w:p w14:paraId="5FD69F2F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4" w:type="dxa"/>
            <w:gridSpan w:val="34"/>
            <w:vAlign w:val="center"/>
          </w:tcPr>
          <w:p w14:paraId="47A5B9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A6B8A" w:rsidRPr="00C90707" w14:paraId="796D388F" w14:textId="77777777" w:rsidTr="005E2957">
        <w:trPr>
          <w:trHeight w:val="110"/>
        </w:trPr>
        <w:tc>
          <w:tcPr>
            <w:tcW w:w="630" w:type="dxa"/>
            <w:vMerge w:val="restart"/>
            <w:vAlign w:val="center"/>
          </w:tcPr>
          <w:p w14:paraId="781659E7" w14:textId="0F13217F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vAlign w:val="center"/>
          </w:tcPr>
          <w:p w14:paraId="0C83F2D3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vAlign w:val="center"/>
          </w:tcPr>
          <w:p w14:paraId="3D073E87" w14:textId="3712883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vAlign w:val="center"/>
          </w:tcPr>
          <w:p w14:paraId="59F68B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639" w:type="dxa"/>
            <w:gridSpan w:val="6"/>
            <w:vAlign w:val="center"/>
          </w:tcPr>
          <w:p w14:paraId="62535C4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9"/>
            <w:vMerge w:val="restart"/>
            <w:vAlign w:val="center"/>
          </w:tcPr>
          <w:p w14:paraId="330836BC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410" w:type="dxa"/>
            <w:gridSpan w:val="6"/>
            <w:vMerge w:val="restart"/>
            <w:vAlign w:val="center"/>
          </w:tcPr>
          <w:p w14:paraId="5D2898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6B8A" w:rsidRPr="00C90707" w14:paraId="02BE1D52" w14:textId="77777777" w:rsidTr="005E2957">
        <w:trPr>
          <w:trHeight w:val="175"/>
        </w:trPr>
        <w:tc>
          <w:tcPr>
            <w:tcW w:w="630" w:type="dxa"/>
            <w:vMerge/>
            <w:vAlign w:val="center"/>
          </w:tcPr>
          <w:p w14:paraId="6E1FBC69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14:paraId="528BE8B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5C6C06A7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vAlign w:val="center"/>
          </w:tcPr>
          <w:p w14:paraId="374821C4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654421A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vAlign w:val="center"/>
          </w:tcPr>
          <w:p w14:paraId="01CC38D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9"/>
            <w:vMerge/>
          </w:tcPr>
          <w:p w14:paraId="12AD9841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vMerge/>
          </w:tcPr>
          <w:p w14:paraId="28B6AAAB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6B8A" w:rsidRPr="00C90707" w14:paraId="688F77C8" w14:textId="77777777" w:rsidTr="005E2957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</w:tcPr>
          <w:p w14:paraId="1A667B28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E2957" w:rsidRPr="00E05D92" w14:paraId="1E0EE2C1" w14:textId="77777777" w:rsidTr="005E2957">
        <w:trPr>
          <w:trHeight w:val="60"/>
        </w:trPr>
        <w:tc>
          <w:tcPr>
            <w:tcW w:w="630" w:type="dxa"/>
            <w:vAlign w:val="center"/>
          </w:tcPr>
          <w:p w14:paraId="61427662" w14:textId="2313C9C0" w:rsidR="005E2957" w:rsidRPr="005E295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5E2957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vAlign w:val="center"/>
          </w:tcPr>
          <w:p w14:paraId="4DC477A0" w14:textId="753F1938" w:rsidR="005E2957" w:rsidRPr="00E05D92" w:rsidRDefault="00E05D92" w:rsidP="00E05D92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E05D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Տեղային արտածծման օդափոխության համակարգ</w:t>
            </w:r>
            <w:r w:rsidRPr="00E05D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ի</w:t>
            </w:r>
            <w:r w:rsidRPr="00E05D9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ձեռքբերման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vAlign w:val="center"/>
          </w:tcPr>
          <w:p w14:paraId="052E0FCB" w14:textId="009DF3C1" w:rsidR="005E2957" w:rsidRPr="00842D55" w:rsidRDefault="005E2957" w:rsidP="005E2957">
            <w:pPr>
              <w:shd w:val="clear" w:color="auto" w:fill="FFFFFF"/>
              <w:spacing w:before="0" w:after="0"/>
              <w:ind w:left="0" w:hanging="144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E05D92"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համակարգ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32089FB" w14:textId="5A50A4CF" w:rsidR="005E2957" w:rsidRPr="00FF2C25" w:rsidRDefault="005E2957" w:rsidP="005E2957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225A349B" w14:textId="0EBE9F5B" w:rsidR="005E2957" w:rsidRPr="00FF2C25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9A0F0A7" w14:textId="73143BC6" w:rsidR="005E2957" w:rsidRPr="00FF2C25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FF2C25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E3D2869" w14:textId="3F951E66" w:rsidR="005E2957" w:rsidRPr="005E295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ru-RU"/>
              </w:rPr>
              <w:t>990000</w:t>
            </w:r>
          </w:p>
        </w:tc>
        <w:tc>
          <w:tcPr>
            <w:tcW w:w="2409" w:type="dxa"/>
            <w:gridSpan w:val="9"/>
            <w:tcBorders>
              <w:bottom w:val="single" w:sz="8" w:space="0" w:color="auto"/>
            </w:tcBorders>
          </w:tcPr>
          <w:p w14:paraId="21C5C4A2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ab/>
              <w:t>Նախատեսվող օդափոխության համակարգը հանդիսանում է տեղային արտածծման ինժեներական լուծում, որը նախատեսված է աշխատանքային գոտիներում առաջացող գոլորշիների, օդային խառնուրդների և տեխնոլոգիական արտանետումների արդյունավետ հեռացման համար՝ շենքային ընդհանուր արտածծման համակարգին միացման պայմանով։</w:t>
            </w:r>
          </w:p>
          <w:p w14:paraId="3B1542B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ab/>
              <w:t xml:space="preserve">Համակարգը կառուցված է օդաքաշ զոնտերի սկզբունքով, որոնք տեղակայվում են անմիջապես արտանետումների առաջացման գոտիներում և ապահովում են ուղղակի արտածծում՝ նվազեցնելով աղտոտիչների տարածումը սենյակի ընդհանուր ծավալում։ </w:t>
            </w: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ab/>
              <w:t>Օդաքաշ զոնտերը մետաղական են, պատրաստված գործարանային ցինկապատ թիթեղից՝ բարձր մեխանիկական կայունությամբ, ձևաբանական ճշգրտությամբ և շահագործման ընթացքում ձևի կայունության ապահովմամբ, ինչը թույլ է տալիս պահպանել կայուն հոսքային պայմաններ և կանխել տեղային տուրբուլենտության առաջացումը։</w:t>
            </w:r>
          </w:p>
          <w:p w14:paraId="39ACFB03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ab/>
              <w:t>Օդատարների համակարգը իրականացվում է գլանաձև ցինկապատ մետաղական օդատարներով և համապատասխան ձևային մասերով (անկյուններ), որոնք ընտրված և հաշվարկված են կիրառվող առանցքային օդամուղների արտադրողականությանը համապատասխան։ Օդատարների տրամագծերի ընտրությունը նպատակ ունի ապահովել օդի տեղափոխման օպտիմալ արագություն, սահմանափակել աերոդինամիկ կորուստները և ապահովել համակարգի կայուն ու կանխատեսելի աշխատանքը ամբողջ շահագործման ընթացքում։</w:t>
            </w:r>
          </w:p>
          <w:p w14:paraId="3C26731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Cambria Math" w:hAnsi="Cambria Math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lastRenderedPageBreak/>
              <w:tab/>
              <w:t>Օդի տեղափոխումն իրականացվում է առանցքային օդամուղների միջոցով, որոնց արտադրողականության և ճնշման պարամետրերը ընտրված են այնպես, որպեսզի յուրաքանչյուր օդաքաշ զոնտի աշխատանքային գոտում ապահովվի բավարար և կայուն արտածծում։ Համակարգում նախատեսված են մետաղական հակադարձ փականներ, որոնք կանխում են հակադարձ հոսքերը, ապահովում են օդային հոսքերի միակողմանի ուղղվածություն և համակարգի անվտանգ ինտեգրումը շենքի ընդհանուր ցանցին։</w:t>
            </w:r>
          </w:p>
          <w:p w14:paraId="2A19FA65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</w:p>
          <w:p w14:paraId="41A7C1A5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ՏԵԽՆԻԿԱԿԱՆ ՊԱՀԱՆՋՆԵՐ </w:t>
            </w:r>
          </w:p>
          <w:p w14:paraId="5BBC9F52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6E38F875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1AA0A162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>ՕԴԱՓՈԽՈՒԹՅԱՆ ԾԱՎԱԼՆԵՐ (ՕԴԻ ԱՐՏԱԾԾՄԱՆ ԱՐԴՅՈՒՆԱՎԵՏՈՒԹՅՈՒՆ)</w:t>
            </w:r>
          </w:p>
          <w:p w14:paraId="1F5BF044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251D150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Տեղային արտածծման համակարգը պետք է ապահովի օդի արտածծման ծավալներ, որոնք լիովին համապատասխան են կիրառվող առանցքային օդամուղների նախագծային արտադրողականությանը և երաշխավորում են կայուն արտածծում յուրաքանչյուր օդաքաշ զոնտի աշխատանքային գոտուց։</w:t>
            </w:r>
          </w:p>
          <w:p w14:paraId="67BB98F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Նախատեսվող օդափոխության ծավալները սահմանվում են հետևյալ կերպ</w:t>
            </w:r>
            <w:r w:rsidRPr="005E2957">
              <w:rPr>
                <w:rFonts w:ascii="Cambria Math" w:hAnsi="Cambria Math" w:cs="Cambria Math"/>
                <w:iCs/>
                <w:sz w:val="14"/>
                <w:szCs w:val="14"/>
                <w:lang w:val="hy-AM"/>
              </w:rPr>
              <w:t>․</w:t>
            </w:r>
          </w:p>
          <w:p w14:paraId="22E7E7C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Ø250 մմ առանցքային օդամուղի համար՝ ոչ պակաս, քան 1300 մ³/ժ,</w:t>
            </w:r>
          </w:p>
          <w:p w14:paraId="35B402B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Ø200 մմ առանցքային օդամուղների համար՝ ոչ պակաս, քան 700 մ³/ժ յուրաքանչյուրի համար,</w:t>
            </w:r>
          </w:p>
          <w:p w14:paraId="55D98B4F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Ø150 մմ առանցքային օդամուղների համար՝ ոչ պակաս, քան 450 մ³/ժ յուրաքանչյուրի համար։</w:t>
            </w:r>
          </w:p>
          <w:p w14:paraId="15C24B90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Համակարգի ընդհանուր նախագծային արտածծման ծավալը պետք է ապահովի բոլոր տեղային արտածծման կետերի միաժամանակյա արդյունավետ աշխատանքը՝ առանց արտածծման ինտենսիվության նկատելի նվազման։</w:t>
            </w:r>
          </w:p>
          <w:p w14:paraId="59D9A26F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Օդափոխության համակարգը պետք է աշխատի կայուն ռեժիմով և ապահովի օդի շարժման բավարար արագություն օդատարներում՝ կանխելով նստվածքների կուտակումը և տեղային հոսքային խափանումները։</w:t>
            </w:r>
          </w:p>
          <w:p w14:paraId="0D39755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70572521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>ԱՂՄՈՒԿԻ ԹՈՒՅԼԱՏՐԵԼԻ ՄԱԿԱՐԴԱԿ</w:t>
            </w:r>
          </w:p>
          <w:p w14:paraId="5A38485D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3C3D0ED9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Օդափոխության համակարգի աշխատանքային ռեժիմում առաջացող աղմուկի մակարդակը պետք է լինի ոչ ավելի, քան 65 դԲ(A)՝ չափված աշխատատեղի մակարդակում։</w:t>
            </w:r>
          </w:p>
          <w:p w14:paraId="0D6F665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Այս պահանջը վերաբերում է համակարգի բոլոր բաղադրիչներին՝</w:t>
            </w:r>
          </w:p>
          <w:p w14:paraId="05B6B4D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օդամուղներին,</w:t>
            </w:r>
          </w:p>
          <w:p w14:paraId="4D4522CE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օդատարների միջոցով փոխանցվող աերոդինամիկ աղմուկին,</w:t>
            </w:r>
          </w:p>
          <w:p w14:paraId="70550C3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մեխանիկական թրթռումներից առաջացող ձայնային ազդեցություններին։</w:t>
            </w:r>
          </w:p>
          <w:p w14:paraId="09C313A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lastRenderedPageBreak/>
              <w:tab/>
              <w:t>Կատարողը պարտավոր է ապահովել օդամուղների ճիշտ ամրացում, թրթռումակայուն միացումներ և տեխնիկական լուծումներ, որոնք թույլ կտան պահպանել նշված աղմուկային սահմանը ամբողջ շահագործման ընթացքում։</w:t>
            </w:r>
          </w:p>
          <w:p w14:paraId="1BD55D1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6361CF8A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 xml:space="preserve">ՏԵԽՆԻԿԱԿԱՆ ՏՎՅԱԼՆԵՐ </w:t>
            </w:r>
          </w:p>
          <w:p w14:paraId="3A63CF34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</w:p>
          <w:p w14:paraId="2210D13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Օդաքաշ զոնտեր՝</w:t>
            </w:r>
          </w:p>
          <w:p w14:paraId="7A36DDD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1000×2000×500 մմ, ցինկապատ թիթեղ, հաստություն՝ ոչ պակաս δ = 0.7 մմ — 1 հատ</w:t>
            </w:r>
          </w:p>
          <w:p w14:paraId="25EA013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900×1000×500 մմ, ցինկապատ թիթեղ, հաստություն՝ ոչ պակաս δ = 0.7 մմ — 2 հատ</w:t>
            </w:r>
          </w:p>
          <w:p w14:paraId="1D3D48C4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900×1500×500 մմ, ցինկապատ թիթեղ, հաստություն՝ ոչ պակաս δ = 0.7 մմ — 2 հատ</w:t>
            </w:r>
          </w:p>
          <w:p w14:paraId="531D3A0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1000×2000×500 մմ, ցինկապատ թիթեղ, հաստություն՝ ոչ պակաս δ = 0.7 մմ — 1 հատ</w:t>
            </w:r>
          </w:p>
          <w:p w14:paraId="2347180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Օդատարներ՝</w:t>
            </w:r>
          </w:p>
          <w:p w14:paraId="79725C79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Գլանաձև օդատար Ø250 մմ, ցինկապատ թիթեղ, հաստություն՝ ոչ պակաս δ = 0.5 մմ — 15.2 գծամ</w:t>
            </w:r>
          </w:p>
          <w:p w14:paraId="33527F2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Գլանաձև օդատար Ø200 մմ, ցինկապատ թիթեղ, հաստություն՝ ոչ պակաս δ = 0.5 մմ — 6.2 գծամ</w:t>
            </w:r>
          </w:p>
          <w:p w14:paraId="7EE5A68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Օդատարների ձևային մասեր (անկյուններ)՝</w:t>
            </w:r>
          </w:p>
          <w:p w14:paraId="4B3195CE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Օդատարի անկյուն Ø250 մմ, ցինկապատ թիթեղ, հաստություն՝ ոչ պակաս δ = 0.5 մմ — 4 հատ</w:t>
            </w:r>
          </w:p>
          <w:p w14:paraId="484CCBE3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Օդատարի անկյուն Ø150 մմ, ցինկապատ թիթեղ, հաստություն՝ ոչ պակաս δ = 0.5 մմ — 2 հատ</w:t>
            </w:r>
          </w:p>
          <w:p w14:paraId="4536AB5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Օդատարի անկյուն Ø200 մմ, ցինկապատ թիթեղ, հաստություն՝ ոչ պակաս δ = 0.5 մմ — 2 հատ</w:t>
            </w:r>
          </w:p>
          <w:p w14:paraId="5D5712D3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Առանցքային օդամուղներ՝</w:t>
            </w:r>
          </w:p>
          <w:p w14:paraId="7079FEA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 Ø250 մմ, արտադրողականություն ոչ պակաս 1300 մ³/ժ, ճնշում 200 Պա — 1 հատ</w:t>
            </w:r>
          </w:p>
          <w:p w14:paraId="132BD40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 Ø200 մմ, արտադրողականություն՝ ոչ պակաս 700 մ³/ժ, ճնշում 150 Պա — 2 հատ</w:t>
            </w:r>
          </w:p>
          <w:p w14:paraId="13726F7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 Ø150 մմ, արտադրողականություն՝ ոչ պակաս 450 մ³/ժ, ճնշում 100 Պա — 2 հատ</w:t>
            </w:r>
          </w:p>
          <w:p w14:paraId="282A9D98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Հակադարձ փականներ՝</w:t>
            </w:r>
          </w:p>
          <w:p w14:paraId="05EC8BA4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Մետաղական հակադարձ փական Ø200 մմ — 2 հատ</w:t>
            </w:r>
          </w:p>
          <w:p w14:paraId="5EB5C7A0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Մետաղական հակադարձ փական Ø150 մմ — 2 հատ</w:t>
            </w:r>
          </w:p>
          <w:p w14:paraId="7EB8360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Տեղադրման միջոցներ և օժանդակ նյութեր՝</w:t>
            </w:r>
          </w:p>
          <w:p w14:paraId="7BFE139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Ամրակցման և տեղադրման միջոցներ, կախիչներ, օժանդակ նյութեր - 1 լրակազմ</w:t>
            </w:r>
          </w:p>
          <w:p w14:paraId="5D419E48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39620CB2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Բոլոր մետաղական տարրերը՝ ներառյալ օդաքաշ զոնտերը, օդատարները և ձևային մասերը, պետք է պատրաստված լինեն գործարանային ցինկապատ թիթեղից, առանց մեխանիկական վնասվածքների, ճաքերի, դեֆորմացիաների կամ կորոզիայի նշանների։</w:t>
            </w:r>
          </w:p>
          <w:p w14:paraId="018DC8A8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 xml:space="preserve">Օդատարների և զոնտերի բոլոր միացումները պետք է լինեն հերմետիկ, մեխանիկորեն ամուր և իրականացված թրթռումակայուն </w:t>
            </w: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lastRenderedPageBreak/>
              <w:t>ամրացումներով՝ բացառելով շահագործման ընթացքում թուլացման կամ օդի արտահոսքի հնարավորությունը։</w:t>
            </w:r>
          </w:p>
          <w:p w14:paraId="37578D2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Օդատարների մոնտաժը պետք է իրականացվի այնպես, որպեսզի պահպանվի նախագծված հոսքային ուղղությունը, բացառվի տեղային խցանումների առաջացումը և ապահովվի համակարգի բնականոն աշխատանքը։</w:t>
            </w:r>
          </w:p>
          <w:p w14:paraId="34CEECE2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Առանցքային օդամուղները պետք է ունենան կայուն աշխատանքային ռեժիմ, ցածր թրթռումային և աղմուկային մակարդակ, ինչպես նաև ապահովված լինեն պաշտպանված էլեկտրական միացմամբ և հողանցմամբ։</w:t>
            </w:r>
          </w:p>
          <w:p w14:paraId="016265A2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Հակադարձ փականները պետք է ապահովեն հստակ և վստահելի բացում և փակում, հակադարձ հոսքերի լիակատար կանխում և մեխանիկական դիմացկունություն երկարաժամկետ շահագործման ընթացքում։</w:t>
            </w:r>
          </w:p>
          <w:p w14:paraId="36E1AEE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Համակարգի բոլոր տարրերը պետք է համապատասխանեն արդյունաբերական օդափոխության ոլորտում ընդունված տեխնիկական նորմերին, ինժեներական հաշվարկներին և շահագործման լավագույն պրակտիկային։</w:t>
            </w:r>
          </w:p>
          <w:p w14:paraId="0B0080F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Կատարողը պարտավոր է աշխատանքների ավարտից հետո իրականացնել համակարգի փորձարկում և գործարկում՝ ապահովելով դրա լիարժեք աշխատունակությունը ընդհանուր արտածծման համակարգին միացման պայմաններում։</w:t>
            </w:r>
          </w:p>
          <w:p w14:paraId="2D60FC0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Աշխատանքները պետք է իրականացվեն գործող լաբորատոր կամ գործառնական տարածքում՝ առանց հարակից ինժեներական համակարգերի խափանման կամ աշխատանքի ընդհատման։</w:t>
            </w:r>
          </w:p>
          <w:p w14:paraId="7CB20A2F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553DA542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>ԵՐԱՇԽԻՔԱՅԻՆ ՊԱՀԱՆՋՆԵՐ</w:t>
            </w:r>
          </w:p>
          <w:p w14:paraId="38F9BC4E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Cs/>
                <w:sz w:val="14"/>
                <w:szCs w:val="14"/>
                <w:lang w:val="hy-AM"/>
              </w:rPr>
            </w:pPr>
          </w:p>
          <w:p w14:paraId="5FB9C25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Կատարող կազմակերպությունը պարտավոր է տրամադրել ոչ պակաս, քան 3 (երեք) տարվա երաշխիք, որը պետք է ներառի՝</w:t>
            </w:r>
          </w:p>
          <w:p w14:paraId="7460904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զոնտերի մեխանիկական ամբողջականությունը,</w:t>
            </w:r>
          </w:p>
          <w:p w14:paraId="378C522E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օդատարների և ձևային մասերի հերմետիկությունը,</w:t>
            </w:r>
          </w:p>
          <w:p w14:paraId="1D398CC0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օդամուղների աշխատունակությունը,</w:t>
            </w:r>
          </w:p>
          <w:p w14:paraId="43D953A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հակադարձ փականների վստահելի աշխատանքը,</w:t>
            </w:r>
          </w:p>
          <w:p w14:paraId="036B067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մոնտաժային միացումների կայունությունը։</w:t>
            </w:r>
          </w:p>
          <w:p w14:paraId="3BE399B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Երաշխիքային ժամկետի ընթացքում առաջացած թերությունները, որոնք պայմանավորված են արտադրական կամ մոնտաժային խախտումներով, պետք է վերացվեն կատարողի կողմից՝ առանց լրացուցիչ ֆինանսական պահանջների պատվիրատուի նկատմամբ։</w:t>
            </w:r>
          </w:p>
          <w:p w14:paraId="7B4413CA" w14:textId="56ABC9F1" w:rsidR="005E2957" w:rsidRPr="005E2957" w:rsidRDefault="005E2957" w:rsidP="005E295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tabs>
                <w:tab w:val="left" w:pos="0"/>
                <w:tab w:val="left" w:pos="174"/>
                <w:tab w:val="left" w:pos="308"/>
              </w:tabs>
              <w:spacing w:before="0" w:after="0"/>
              <w:ind w:left="0" w:hanging="31"/>
              <w:contextualSpacing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</w:tcPr>
          <w:p w14:paraId="420815D3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lastRenderedPageBreak/>
              <w:tab/>
              <w:t>Նախատեսվող օդափոխության համակարգը հանդիսանում է տեղային արտածծման ինժեներական լուծում, որը նախատեսված է աշխատանքային գոտիներում առաջացող գոլորշիների, օդային խառնուրդների և տեխնոլոգիական արտանետումների արդյունավետ հեռացման համար՝ շենքային ընդհանուր արտածծման համակարգին միացման պայմանով։</w:t>
            </w:r>
          </w:p>
          <w:p w14:paraId="4B3A0A8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ab/>
              <w:t xml:space="preserve">Համակարգը կառուցված է օդաքաշ զոնտերի սկզբունքով, որոնք տեղակայվում են անմիջապես արտանետումների առաջացման գոտիներում և ապահովում են ուղղակի արտածծում՝ նվազեցնելով աղտոտիչների տարածումը սենյակի ընդհանուր ծավալում։ </w:t>
            </w: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ab/>
              <w:t>Օդաքաշ զոնտերը մետաղական են, պատրաստված գործարանային ցինկապատ թիթեղից՝ բարձր մեխանիկական կայունությամբ, ձևաբանական ճշգրտությամբ և շահագործման ընթացքում ձևի կայունության ապահովմամբ, ինչը թույլ է տալիս պահպանել կայուն հոսքային պայմաններ և կանխել տեղային տուրբուլենտության առաջացումը։</w:t>
            </w:r>
          </w:p>
          <w:p w14:paraId="0CB1E250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ab/>
              <w:t>Օդատարների համակարգը իրականացվում է գլանաձև ցինկապատ մետաղական օդատարներով և համապատասխան ձևային մասերով (անկյուններ), որոնք ընտրված և հաշվարկված են կիրառվող առանցքային օդամուղների արտադրողականությանը համապատասխան։ Օդատարների տրամագծերի ընտրությունը նպատակ ունի ապահովել օդի տեղափոխման օպտիմալ արագություն, սահմանափակել աերոդինամիկ կորուստները և ապահովել համակարգի կայուն ու կանխատեսելի աշխատանքը ամբողջ շահագործման ընթացքում։</w:t>
            </w:r>
          </w:p>
          <w:p w14:paraId="1F43DCA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Cambria Math" w:hAnsi="Cambria Math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lastRenderedPageBreak/>
              <w:tab/>
              <w:t>Օդի տեղափոխումն իրականացվում է առանցքային օդամուղների միջոցով, որոնց արտադրողականության և ճնշման պարամետրերը ընտրված են այնպես, որպեսզի յուրաքանչյուր օդաքաշ զոնտի աշխատանքային գոտում ապահովվի բավարար և կայուն արտածծում։ Համակարգում նախատեսված են մետաղական հակադարձ փականներ, որոնք կանխում են հակադարձ հոսքերը, ապահովում են օդային հոսքերի միակողմանի ուղղվածություն և համակարգի անվտանգ ինտեգրումը շենքի ընդհանուր ցանցին։</w:t>
            </w:r>
          </w:p>
          <w:p w14:paraId="09758283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</w:p>
          <w:p w14:paraId="7C1C8EC3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ՏԵԽՆԻԿԱԿԱՆ ՊԱՀԱՆՋՆԵՐ </w:t>
            </w:r>
          </w:p>
          <w:p w14:paraId="6E9DD15D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3775C6CF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3C58CDF0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>ՕԴԱՓՈԽՈՒԹՅԱՆ ԾԱՎԱԼՆԵՐ (ՕԴԻ ԱՐՏԱԾԾՄԱՆ ԱՐԴՅՈՒՆԱՎԵՏՈՒԹՅՈՒՆ)</w:t>
            </w:r>
          </w:p>
          <w:p w14:paraId="35E148C1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1EB0E26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Տեղային արտածծման համակարգը պետք է ապահովի օդի արտածծման ծավալներ, որոնք լիովին համապատասխան են կիրառվող առանցքային օդամուղների նախագծային արտադրողականությանը և երաշխավորում են կայուն արտածծում յուրաքանչյուր օդաքաշ զոնտի աշխատանքային գոտուց։</w:t>
            </w:r>
          </w:p>
          <w:p w14:paraId="02EACF3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Նախատեսվող օդափոխության ծավալները սահմանվում են հետևյալ կերպ</w:t>
            </w:r>
            <w:r w:rsidRPr="005E2957">
              <w:rPr>
                <w:rFonts w:ascii="Cambria Math" w:hAnsi="Cambria Math" w:cs="Cambria Math"/>
                <w:iCs/>
                <w:sz w:val="14"/>
                <w:szCs w:val="14"/>
                <w:lang w:val="hy-AM"/>
              </w:rPr>
              <w:t>․</w:t>
            </w:r>
          </w:p>
          <w:p w14:paraId="051CD24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Ø250 մմ առանցքային օդամուղի համար՝ ոչ պակաս, քան 1300 մ³/ժ,</w:t>
            </w:r>
          </w:p>
          <w:p w14:paraId="3DBC4224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Ø200 մմ առանցքային օդամուղների համար՝ ոչ պակաս, քան 700 մ³/ժ յուրաքանչյուրի համար,</w:t>
            </w:r>
          </w:p>
          <w:p w14:paraId="7A42471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Ø150 մմ առանցքային օդամուղների համար՝ ոչ պակաս, քան 450 մ³/ժ յուրաքանչյուրի համար։</w:t>
            </w:r>
          </w:p>
          <w:p w14:paraId="5BAD4C9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Համակարգի ընդհանուր նախագծային արտածծման ծավալը պետք է ապահովի բոլոր տեղային արտածծման կետերի միաժամանակյա արդյունավետ աշխատանքը՝ առանց արտածծման ինտենսիվության նկատելի նվազման։</w:t>
            </w:r>
          </w:p>
          <w:p w14:paraId="2260089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Օդափոխության համակարգը պետք է աշխատի կայուն ռեժիմով և ապահովի օդի շարժման բավարար արագություն օդատարներում՝ կանխելով նստվածքների կուտակումը և տեղային հոսքային խափանումները։</w:t>
            </w:r>
          </w:p>
          <w:p w14:paraId="593714A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31200530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>ԱՂՄՈՒԿԻ ԹՈՒՅԼԱՏՐԵԼԻ ՄԱԿԱՐԴԱԿ</w:t>
            </w:r>
          </w:p>
          <w:p w14:paraId="3473D6F5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/>
                <w:sz w:val="14"/>
                <w:szCs w:val="14"/>
                <w:lang w:val="hy-AM"/>
              </w:rPr>
            </w:pPr>
          </w:p>
          <w:p w14:paraId="5B0A4AA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Օդափոխության համակարգի աշխատանքային ռեժիմում առաջացող աղմուկի մակարդակը պետք է լինի ոչ ավելի, քան 65 դԲ(A)՝ չափված աշխատատեղի մակարդակում։</w:t>
            </w:r>
          </w:p>
          <w:p w14:paraId="34DE8D62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Այս պահանջը վերաբերում է համակարգի բոլոր բաղադրիչներին՝</w:t>
            </w:r>
          </w:p>
          <w:p w14:paraId="58E2C29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օդամուղներին,</w:t>
            </w:r>
          </w:p>
          <w:p w14:paraId="0E4FFA78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օդատարների միջոցով փոխանցվող աերոդինամիկ աղմուկին,</w:t>
            </w:r>
          </w:p>
          <w:p w14:paraId="2D48786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մեխանիկական թրթռումներից առաջացող ձայնային ազդեցություններին։</w:t>
            </w:r>
          </w:p>
          <w:p w14:paraId="503EF03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lastRenderedPageBreak/>
              <w:tab/>
              <w:t>Կատարողը պարտավոր է ապահովել օդամուղների ճիշտ ամրացում, թրթռումակայուն միացումներ և տեխնիկական լուծումներ, որոնք թույլ կտան պահպանել նշված աղմուկային սահմանը ամբողջ շահագործման ընթացքում։</w:t>
            </w:r>
          </w:p>
          <w:p w14:paraId="199232B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18AF796F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 xml:space="preserve">ՏԵԽՆԻԿԱԿԱՆ ՏՎՅԱԼՆԵՐ </w:t>
            </w:r>
          </w:p>
          <w:p w14:paraId="1ED25598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</w:p>
          <w:p w14:paraId="062A598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Օդաքաշ զոնտեր՝</w:t>
            </w:r>
          </w:p>
          <w:p w14:paraId="21B9311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1000×2000×500 մմ, ցինկապատ թիթեղ, հաստություն՝ ոչ պակաս δ = 0.7 մմ — 1 հատ</w:t>
            </w:r>
          </w:p>
          <w:p w14:paraId="589CF6C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900×1000×500 մմ, ցինկապատ թիթեղ, հաստություն՝ ոչ պակաս δ = 0.7 մմ — 2 հատ</w:t>
            </w:r>
          </w:p>
          <w:p w14:paraId="18B50033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900×1500×500 մմ, ցինկապատ թիթեղ, հաստություն՝ ոչ պակաս δ = 0.7 մմ — 2 հատ</w:t>
            </w:r>
          </w:p>
          <w:p w14:paraId="72D5635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զոնտ՝ չափերը 1000×2000×500 մմ, ցինկապատ թիթեղ, հաստություն՝ ոչ պակաս δ = 0.7 մմ — 1 հատ</w:t>
            </w:r>
          </w:p>
          <w:p w14:paraId="7F4FFC8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Օդատարներ՝</w:t>
            </w:r>
          </w:p>
          <w:p w14:paraId="3A96D83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Գլանաձև օդատար Ø250 մմ, ցինկապատ թիթեղ, հաստություն՝ ոչ պակաս δ = 0.5 մմ — 15.2 գծամ</w:t>
            </w:r>
          </w:p>
          <w:p w14:paraId="47F1EA2F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Գլանաձև օդատար Ø200 մմ, ցինկապատ թիթեղ, հաստություն՝ ոչ պակաս δ = 0.5 մմ — 6.2 գծամ</w:t>
            </w:r>
          </w:p>
          <w:p w14:paraId="26B1E0FF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Օդատարների ձևային մասեր (անկյուններ)՝</w:t>
            </w:r>
          </w:p>
          <w:p w14:paraId="11115AE6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Օդատարի անկյուն Ø250 մմ, ցինկապատ թիթեղ, հաստություն՝ ոչ պակաս δ = 0.5 մմ — 4 հատ</w:t>
            </w:r>
          </w:p>
          <w:p w14:paraId="61D8EF3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Օդատարի անկյուն Ø150 մմ, ցինկապատ թիթեղ, հաստություն՝ ոչ պակաս δ = 0.5 մմ — 2 հատ</w:t>
            </w:r>
          </w:p>
          <w:p w14:paraId="5A5ECE2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Օդատարի անկյուն Ø200 մմ, ցինկապատ թիթեղ, հաստություն՝ ոչ պակաս δ = 0.5 մմ — 2 հատ</w:t>
            </w:r>
          </w:p>
          <w:p w14:paraId="0217839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Առանցքային օդամուղներ՝</w:t>
            </w:r>
          </w:p>
          <w:p w14:paraId="5B1FEE0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 Ø250 մմ, արտադրողականություն ոչ պակաս 1300 մ³/ժ, ճնշում 200 Պա — 1 հատ</w:t>
            </w:r>
          </w:p>
          <w:p w14:paraId="72FB68E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 Ø200 մմ, արտադրողականություն՝ ոչ պակաս 700 մ³/ժ, ճնշում 150 Պա — 2 հատ</w:t>
            </w:r>
          </w:p>
          <w:p w14:paraId="31F40EAE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 Ø150 մմ, արտադրողականություն՝ ոչ պակաս 450 մ³/ժ, ճնշում 100 Պա — 2 հատ</w:t>
            </w:r>
          </w:p>
          <w:p w14:paraId="7AE3FBD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Հակադարձ փականներ՝</w:t>
            </w:r>
          </w:p>
          <w:p w14:paraId="1741E7D0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Մետաղական հակադարձ փական Ø200 մմ — 2 հատ</w:t>
            </w:r>
          </w:p>
          <w:p w14:paraId="5666D5B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Մետաղական հակադարձ փական Ø150 մմ — 2 հատ</w:t>
            </w:r>
          </w:p>
          <w:p w14:paraId="42221F21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Տեղադրման միջոցներ և օժանդակ նյութեր՝</w:t>
            </w:r>
          </w:p>
          <w:p w14:paraId="321117A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Ամրակցման և տեղադրման միջոցներ, կախիչներ, օժանդակ նյութեր - 1 լրակազմ</w:t>
            </w:r>
          </w:p>
          <w:p w14:paraId="54C5DD6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45CC846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Բոլոր մետաղական տարրերը՝ ներառյալ օդաքաշ զոնտերը, օդատարները և ձևային մասերը, պետք է պատրաստված լինեն գործարանային ցինկապատ թիթեղից, առանց մեխանիկական վնասվածքների, ճաքերի, դեֆորմացիաների կամ կորոզիայի նշանների։</w:t>
            </w:r>
          </w:p>
          <w:p w14:paraId="52011DA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 xml:space="preserve">Օդատարների և զոնտերի բոլոր միացումները պետք է լինեն հերմետիկ, մեխանիկորեն ամուր և իրականացված թրթռումակայուն </w:t>
            </w: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lastRenderedPageBreak/>
              <w:t>ամրացումներով՝ բացառելով շահագործման ընթացքում թուլացման կամ օդի արտահոսքի հնարավորությունը։</w:t>
            </w:r>
          </w:p>
          <w:p w14:paraId="0FDBFB52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Օդատարների մոնտաժը պետք է իրականացվի այնպես, որպեսզի պահպանվի նախագծված հոսքային ուղղությունը, բացառվի տեղային խցանումների առաջացումը և ապահովվի համակարգի բնականոն աշխատանքը։</w:t>
            </w:r>
          </w:p>
          <w:p w14:paraId="0545363C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Առանցքային օդամուղները պետք է ունենան կայուն աշխատանքային ռեժիմ, ցածր թրթռումային և աղմուկային մակարդակ, ինչպես նաև ապահովված լինեն պաշտպանված էլեկտրական միացմամբ և հողանցմամբ։</w:t>
            </w:r>
          </w:p>
          <w:p w14:paraId="4B3E4D2D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Հակադարձ փականները պետք է ապահովեն հստակ և վստահելի բացում և փակում, հակադարձ հոսքերի լիակատար կանխում և մեխանիկական դիմացկունություն երկարաժամկետ շահագործման ընթացքում։</w:t>
            </w:r>
          </w:p>
          <w:p w14:paraId="302385B9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Համակարգի բոլոր տարրերը պետք է համապատասխանեն արդյունաբերական օդափոխության ոլորտում ընդունված տեխնիկական նորմերին, ինժեներական հաշվարկներին և շահագործման լավագույն պրակտիկային։</w:t>
            </w:r>
          </w:p>
          <w:p w14:paraId="5DCDE3E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Կատարողը պարտավոր է աշխատանքների ավարտից հետո իրականացնել համակարգի փորձարկում և գործարկում՝ ապահովելով դրա լիարժեք աշխատունակությունը ընդհանուր արտածծման համակարգին միացման պայմաններում։</w:t>
            </w:r>
          </w:p>
          <w:p w14:paraId="3EACB24A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Աշխատանքները պետք է իրականացվեն գործող լաբորատոր կամ գործառնական տարածքում՝ առանց հարակից ինժեներական համակարգերի խափանման կամ աշխատանքի ընդհատման։</w:t>
            </w:r>
          </w:p>
          <w:p w14:paraId="0240A28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</w:p>
          <w:p w14:paraId="04A76F6F" w14:textId="77777777" w:rsidR="005E2957" w:rsidRPr="005E2957" w:rsidRDefault="005E2957" w:rsidP="005E2957">
            <w:pPr>
              <w:pStyle w:val="a6"/>
              <w:numPr>
                <w:ilvl w:val="0"/>
                <w:numId w:val="17"/>
              </w:num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b/>
                <w:bCs/>
                <w:iCs/>
                <w:sz w:val="14"/>
                <w:szCs w:val="14"/>
                <w:lang w:val="hy-AM"/>
              </w:rPr>
              <w:t>ԵՐԱՇԽԻՔԱՅԻՆ ՊԱՀԱՆՋՆԵՐ</w:t>
            </w:r>
          </w:p>
          <w:p w14:paraId="266AA1C3" w14:textId="77777777" w:rsidR="005E2957" w:rsidRPr="005E2957" w:rsidRDefault="005E2957" w:rsidP="005E2957">
            <w:pPr>
              <w:pStyle w:val="a6"/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bCs/>
                <w:sz w:val="14"/>
                <w:szCs w:val="14"/>
                <w:lang w:val="hy-AM"/>
              </w:rPr>
            </w:pPr>
          </w:p>
          <w:p w14:paraId="63CC754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Կատարող կազմակերպությունը պարտավոր է տրամադրել ոչ պակաս, քան 3 (երեք) տարվա երաշխիք, որը պետք է ներառի՝</w:t>
            </w:r>
          </w:p>
          <w:p w14:paraId="35BCA96F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օդաքաշ զոնտերի մեխանիկական ամբողջականությունը,</w:t>
            </w:r>
          </w:p>
          <w:p w14:paraId="21BCC7C4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օդատարների և ձևային մասերի հերմետիկությունը,</w:t>
            </w:r>
          </w:p>
          <w:p w14:paraId="624865C5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առանցքային օդամուղների աշխատունակությունը,</w:t>
            </w:r>
          </w:p>
          <w:p w14:paraId="0E751FEB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հակադարձ փականների վստահելի աշխատանքը,</w:t>
            </w:r>
          </w:p>
          <w:p w14:paraId="3E563CAF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>– մոնտաժային միացումների կայունությունը։</w:t>
            </w:r>
          </w:p>
          <w:p w14:paraId="0D62D5E7" w14:textId="77777777" w:rsidR="005E2957" w:rsidRPr="005E2957" w:rsidRDefault="005E2957" w:rsidP="005E2957">
            <w:pPr>
              <w:tabs>
                <w:tab w:val="left" w:pos="0"/>
              </w:tabs>
              <w:spacing w:before="0" w:after="0"/>
              <w:ind w:left="0" w:hanging="31"/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</w:pPr>
            <w:r w:rsidRPr="005E2957">
              <w:rPr>
                <w:rFonts w:ascii="GHEA Grapalat" w:hAnsi="GHEA Grapalat" w:cs="Cambria Math"/>
                <w:iCs/>
                <w:sz w:val="14"/>
                <w:szCs w:val="14"/>
                <w:lang w:val="hy-AM"/>
              </w:rPr>
              <w:tab/>
              <w:t>Երաշխիքային ժամկետի ընթացքում առաջացած թերությունները, որոնք պայմանավորված են արտադրական կամ մոնտաժային խախտումներով, պետք է վերացվեն կատարողի կողմից՝ առանց լրացուցիչ ֆինանսական պահանջների պատվիրատուի նկատմամբ։</w:t>
            </w:r>
          </w:p>
          <w:p w14:paraId="7DB82FCE" w14:textId="3BF23A1A" w:rsidR="005E2957" w:rsidRPr="00FF2C25" w:rsidRDefault="005E2957" w:rsidP="005E2957">
            <w:pPr>
              <w:spacing w:before="0" w:after="0"/>
              <w:ind w:left="40" w:hanging="4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</w:p>
        </w:tc>
      </w:tr>
      <w:tr w:rsidR="005E2957" w:rsidRPr="00E05D92" w14:paraId="4B8BC031" w14:textId="4C6ED09C" w:rsidTr="00FF2C25">
        <w:trPr>
          <w:trHeight w:val="169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451180EC" w14:textId="60BE9B6F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5E2957" w:rsidRPr="00E05D92" w14:paraId="24C3B0CB" w14:textId="77777777" w:rsidTr="00FF2C25">
        <w:trPr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vAlign w:val="center"/>
          </w:tcPr>
          <w:p w14:paraId="4B58E534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29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1778DDBF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E2957" w:rsidRPr="00E05D92" w14:paraId="075EEA57" w14:textId="77777777" w:rsidTr="00FF2C25">
        <w:trPr>
          <w:trHeight w:val="196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E2957" w:rsidRPr="00C90707" w14:paraId="681596E8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69DE43BC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B3FD58F" w:rsidR="005E2957" w:rsidRPr="005E295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5E2957" w:rsidRPr="00C90707" w14:paraId="199F948A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871645D" w:rsidR="005E2957" w:rsidRPr="00C90707" w:rsidRDefault="005E2957" w:rsidP="005E29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2140D86C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1010BA07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E2957" w:rsidRPr="00C90707" w14:paraId="6EE9B008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4FBB5A8F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E2957" w:rsidRPr="00C90707" w14:paraId="13FE412E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618E0A0C" w:rsidR="005E2957" w:rsidRPr="00C90707" w:rsidRDefault="005E2957" w:rsidP="005E29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21244FFE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091D90C1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5E2957" w:rsidRPr="00C90707" w14:paraId="321D26CF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115411B0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02D6E7E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07101699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E2957" w:rsidRPr="00C90707" w14:paraId="68E691E2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5E2957" w:rsidRPr="00C90707" w:rsidRDefault="005E2957" w:rsidP="005E29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E2957" w:rsidRPr="00C90707" w14:paraId="30B89418" w14:textId="77777777" w:rsidTr="00FF2C25">
        <w:trPr>
          <w:trHeight w:val="54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0776DB4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E2957" w:rsidRPr="00C90707" w14:paraId="10DC4861" w14:textId="77777777" w:rsidTr="00FF2C25">
        <w:trPr>
          <w:trHeight w:val="221"/>
        </w:trPr>
        <w:tc>
          <w:tcPr>
            <w:tcW w:w="1560" w:type="dxa"/>
            <w:gridSpan w:val="3"/>
            <w:vMerge w:val="restart"/>
            <w:vAlign w:val="center"/>
          </w:tcPr>
          <w:p w14:paraId="34162061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vAlign w:val="center"/>
          </w:tcPr>
          <w:p w14:paraId="4FE503E7" w14:textId="29F83DA2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179" w:type="dxa"/>
            <w:gridSpan w:val="19"/>
            <w:vAlign w:val="center"/>
          </w:tcPr>
          <w:p w14:paraId="1FD38684" w14:textId="2B462658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E2957" w:rsidRPr="00C90707" w14:paraId="3FD00E3A" w14:textId="77777777" w:rsidTr="00FF2C25">
        <w:trPr>
          <w:trHeight w:val="273"/>
        </w:trPr>
        <w:tc>
          <w:tcPr>
            <w:tcW w:w="1560" w:type="dxa"/>
            <w:gridSpan w:val="3"/>
            <w:vMerge/>
            <w:vAlign w:val="center"/>
          </w:tcPr>
          <w:p w14:paraId="67E5DBFB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vAlign w:val="center"/>
          </w:tcPr>
          <w:p w14:paraId="7835142E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1" w:type="dxa"/>
            <w:gridSpan w:val="10"/>
            <w:vAlign w:val="center"/>
          </w:tcPr>
          <w:p w14:paraId="27542D69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104" w:type="dxa"/>
            <w:gridSpan w:val="6"/>
            <w:vAlign w:val="center"/>
          </w:tcPr>
          <w:p w14:paraId="635EE2FE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3"/>
            <w:vAlign w:val="center"/>
          </w:tcPr>
          <w:p w14:paraId="4A371FE9" w14:textId="77777777" w:rsidR="005E2957" w:rsidRPr="00C9070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E2957" w:rsidRPr="00C90707" w14:paraId="30997F94" w14:textId="77777777" w:rsidTr="00FF2C25">
        <w:trPr>
          <w:trHeight w:val="60"/>
        </w:trPr>
        <w:tc>
          <w:tcPr>
            <w:tcW w:w="1560" w:type="dxa"/>
            <w:gridSpan w:val="3"/>
            <w:vAlign w:val="center"/>
          </w:tcPr>
          <w:p w14:paraId="3500984A" w14:textId="68A9F767" w:rsidR="005E2957" w:rsidRPr="00BD1A4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</w:t>
            </w:r>
          </w:p>
        </w:tc>
        <w:tc>
          <w:tcPr>
            <w:tcW w:w="3035" w:type="dxa"/>
            <w:gridSpan w:val="13"/>
            <w:vAlign w:val="center"/>
          </w:tcPr>
          <w:p w14:paraId="72DF2C64" w14:textId="77777777" w:rsidR="005E2957" w:rsidRPr="00923136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gridSpan w:val="10"/>
            <w:vAlign w:val="center"/>
          </w:tcPr>
          <w:p w14:paraId="76B6EC8A" w14:textId="77777777" w:rsidR="005E295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104" w:type="dxa"/>
            <w:gridSpan w:val="6"/>
            <w:vAlign w:val="center"/>
          </w:tcPr>
          <w:p w14:paraId="629D5FD8" w14:textId="77777777" w:rsidR="005E295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A72C918" w14:textId="77777777" w:rsidR="005E2957" w:rsidRDefault="005E2957" w:rsidP="005E295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DF2DC9" w:rsidRPr="00C90707" w14:paraId="0C2F7C1D" w14:textId="77777777" w:rsidTr="00FF2C25">
        <w:trPr>
          <w:trHeight w:val="50"/>
        </w:trPr>
        <w:tc>
          <w:tcPr>
            <w:tcW w:w="1560" w:type="dxa"/>
            <w:gridSpan w:val="3"/>
            <w:vAlign w:val="center"/>
          </w:tcPr>
          <w:p w14:paraId="41E0C471" w14:textId="462C4B1B" w:rsidR="00DF2DC9" w:rsidRPr="005E2957" w:rsidRDefault="00DF2DC9" w:rsidP="00DF2DC9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35" w:type="dxa"/>
            <w:gridSpan w:val="13"/>
            <w:vAlign w:val="center"/>
          </w:tcPr>
          <w:p w14:paraId="66DCF026" w14:textId="0F34161A" w:rsidR="00DF2DC9" w:rsidRPr="005E2957" w:rsidRDefault="00DF2DC9" w:rsidP="00DF2DC9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Էքսպերտ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Ինժիներինգ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3061" w:type="dxa"/>
            <w:gridSpan w:val="10"/>
            <w:vAlign w:val="center"/>
          </w:tcPr>
          <w:p w14:paraId="44F5DE7C" w14:textId="72A24883" w:rsidR="00DF2DC9" w:rsidRPr="005E2957" w:rsidRDefault="00DF2DC9" w:rsidP="00DF2DC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766667</w:t>
            </w:r>
          </w:p>
        </w:tc>
        <w:tc>
          <w:tcPr>
            <w:tcW w:w="1104" w:type="dxa"/>
            <w:gridSpan w:val="6"/>
            <w:vAlign w:val="center"/>
          </w:tcPr>
          <w:p w14:paraId="27651E7B" w14:textId="56C4AE5E" w:rsidR="00DF2DC9" w:rsidRPr="005E2957" w:rsidRDefault="00DF2DC9" w:rsidP="00DF2DC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153333,4</w:t>
            </w:r>
          </w:p>
        </w:tc>
        <w:tc>
          <w:tcPr>
            <w:tcW w:w="2014" w:type="dxa"/>
            <w:gridSpan w:val="3"/>
            <w:vAlign w:val="center"/>
          </w:tcPr>
          <w:p w14:paraId="6D4F0995" w14:textId="526231D3" w:rsidR="00DF2DC9" w:rsidRPr="005E2957" w:rsidRDefault="00DF2DC9" w:rsidP="00DF2DC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920000</w:t>
            </w:r>
          </w:p>
        </w:tc>
      </w:tr>
      <w:tr w:rsidR="00DF2DC9" w:rsidRPr="00C90707" w14:paraId="700CD07F" w14:textId="6487660D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10ED0606" w14:textId="77777777" w:rsidR="00DF2DC9" w:rsidRPr="005B6BF2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F2DC9" w:rsidRPr="00C90707" w14:paraId="521126E1" w14:textId="77777777" w:rsidTr="00FF2C25">
        <w:tc>
          <w:tcPr>
            <w:tcW w:w="10774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F2DC9" w:rsidRPr="00C90707" w14:paraId="552679BF" w14:textId="77777777" w:rsidTr="00FF2C25">
        <w:trPr>
          <w:trHeight w:val="50"/>
        </w:trPr>
        <w:tc>
          <w:tcPr>
            <w:tcW w:w="806" w:type="dxa"/>
            <w:gridSpan w:val="2"/>
            <w:vMerge w:val="restart"/>
            <w:vAlign w:val="center"/>
          </w:tcPr>
          <w:p w14:paraId="770D59CE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vAlign w:val="center"/>
          </w:tcPr>
          <w:p w14:paraId="563B2C65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8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F2DC9" w:rsidRPr="00C90707" w14:paraId="3CA6FABC" w14:textId="77777777" w:rsidTr="00FF2C25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198501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10516E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vAlign w:val="center"/>
          </w:tcPr>
          <w:p w14:paraId="4310A92D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vAlign w:val="center"/>
          </w:tcPr>
          <w:p w14:paraId="7136F05F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vAlign w:val="center"/>
          </w:tcPr>
          <w:p w14:paraId="63B06239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vAlign w:val="center"/>
          </w:tcPr>
          <w:p w14:paraId="00B50C56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F2DC9" w:rsidRPr="00C90707" w14:paraId="5E96A1C5" w14:textId="77777777" w:rsidTr="00FF2C25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DE0AD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D1451B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550B2F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09AAC9D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8DCF91F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55E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2DC9" w:rsidRPr="00C90707" w14:paraId="522ACAFB" w14:textId="77777777" w:rsidTr="00FF2C25">
        <w:trPr>
          <w:trHeight w:val="331"/>
        </w:trPr>
        <w:tc>
          <w:tcPr>
            <w:tcW w:w="2236" w:type="dxa"/>
            <w:gridSpan w:val="5"/>
            <w:vAlign w:val="center"/>
          </w:tcPr>
          <w:p w14:paraId="514F7E40" w14:textId="7777777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30"/>
            <w:vAlign w:val="center"/>
          </w:tcPr>
          <w:p w14:paraId="71AB42B3" w14:textId="6A88353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F2DC9" w:rsidRPr="00C90707" w14:paraId="617248CD" w14:textId="77777777" w:rsidTr="00FF2C25">
        <w:trPr>
          <w:trHeight w:val="101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2DC9" w:rsidRPr="00C90707" w14:paraId="1515C769" w14:textId="77777777" w:rsidTr="00FF2C25">
        <w:trPr>
          <w:trHeight w:val="346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vAlign w:val="center"/>
          </w:tcPr>
          <w:p w14:paraId="785FC15A" w14:textId="7777777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0BCE32CE" w:rsidR="00DF2DC9" w:rsidRPr="005E2957" w:rsidRDefault="00DF2DC9" w:rsidP="00DF2D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24.02.2026</w:t>
            </w:r>
          </w:p>
        </w:tc>
      </w:tr>
      <w:tr w:rsidR="00DF2DC9" w:rsidRPr="00C90707" w14:paraId="71BEA872" w14:textId="77777777" w:rsidTr="00FF2C25">
        <w:trPr>
          <w:trHeight w:val="92"/>
        </w:trPr>
        <w:tc>
          <w:tcPr>
            <w:tcW w:w="4961" w:type="dxa"/>
            <w:gridSpan w:val="18"/>
            <w:vMerge w:val="restart"/>
            <w:tcBorders>
              <w:right w:val="single" w:sz="4" w:space="0" w:color="auto"/>
            </w:tcBorders>
            <w:vAlign w:val="center"/>
          </w:tcPr>
          <w:p w14:paraId="7F8FD238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80AEB2" w14:textId="7777777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F2DC9" w:rsidRPr="00C90707" w14:paraId="04C80107" w14:textId="77777777" w:rsidTr="00FF2C25">
        <w:trPr>
          <w:trHeight w:val="133"/>
        </w:trPr>
        <w:tc>
          <w:tcPr>
            <w:tcW w:w="4961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10EA2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AB2202" w14:textId="1A9D8734" w:rsidR="00DF2DC9" w:rsidRPr="00FF2C25" w:rsidRDefault="00DF2DC9" w:rsidP="00DF2D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652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6C1E38D4" w:rsidR="00DF2DC9" w:rsidRPr="00FF2C25" w:rsidRDefault="00DF2DC9" w:rsidP="00DF2D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DF2DC9" w:rsidRPr="005E2957" w14:paraId="2254FA5C" w14:textId="28F34143" w:rsidTr="00FF2C25">
        <w:trPr>
          <w:trHeight w:val="344"/>
        </w:trPr>
        <w:tc>
          <w:tcPr>
            <w:tcW w:w="496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7777777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71B6FA6" w14:textId="753A0BFB" w:rsidR="00DF2DC9" w:rsidRPr="005E2957" w:rsidRDefault="00DF2DC9" w:rsidP="00DF2D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03.03.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DF2DC9" w:rsidRPr="00C90707" w14:paraId="3C75DA26" w14:textId="77777777" w:rsidTr="00FF2C25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vAlign w:val="center"/>
          </w:tcPr>
          <w:p w14:paraId="311570B1" w14:textId="7777777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</w:tcPr>
          <w:p w14:paraId="1E9104E7" w14:textId="3BE57026" w:rsidR="00DF2DC9" w:rsidRPr="005E2957" w:rsidRDefault="00DF2DC9" w:rsidP="00DF2D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05.03.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DF2DC9" w:rsidRPr="00C90707" w14:paraId="0682C6BE" w14:textId="77777777" w:rsidTr="00FF2C25">
        <w:trPr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vAlign w:val="center"/>
          </w:tcPr>
          <w:p w14:paraId="103EC18B" w14:textId="77777777" w:rsidR="00DF2DC9" w:rsidRPr="00EB206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</w:tcPr>
          <w:p w14:paraId="5293ADE3" w14:textId="23C5F613" w:rsidR="00DF2DC9" w:rsidRPr="00EB2067" w:rsidRDefault="00DF2DC9" w:rsidP="00DF2D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05.03.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DF2DC9" w:rsidRPr="00C90707" w14:paraId="79A64497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20F225D" w14:textId="77777777" w:rsidR="00DF2DC9" w:rsidRPr="005B6BF2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DF2DC9" w:rsidRPr="00C90707" w14:paraId="4E4EA255" w14:textId="77777777" w:rsidTr="00FF2C25">
        <w:tc>
          <w:tcPr>
            <w:tcW w:w="1560" w:type="dxa"/>
            <w:gridSpan w:val="3"/>
            <w:vMerge w:val="restart"/>
            <w:vAlign w:val="center"/>
          </w:tcPr>
          <w:p w14:paraId="7AA249E4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vAlign w:val="center"/>
          </w:tcPr>
          <w:p w14:paraId="3EF9A58A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54" w:type="dxa"/>
            <w:gridSpan w:val="27"/>
            <w:vAlign w:val="center"/>
          </w:tcPr>
          <w:p w14:paraId="0A5086C3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F2DC9" w:rsidRPr="00C90707" w14:paraId="11F19FA1" w14:textId="77777777" w:rsidTr="00842D55">
        <w:trPr>
          <w:trHeight w:val="143"/>
        </w:trPr>
        <w:tc>
          <w:tcPr>
            <w:tcW w:w="1560" w:type="dxa"/>
            <w:gridSpan w:val="3"/>
            <w:vMerge/>
            <w:vAlign w:val="center"/>
          </w:tcPr>
          <w:p w14:paraId="39B67943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vMerge/>
            <w:vAlign w:val="center"/>
          </w:tcPr>
          <w:p w14:paraId="2856C5C6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9"/>
            <w:vMerge w:val="restart"/>
            <w:vAlign w:val="center"/>
          </w:tcPr>
          <w:p w14:paraId="23EE0CE1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E70E64E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13" w:type="dxa"/>
            <w:gridSpan w:val="5"/>
            <w:vMerge w:val="restart"/>
            <w:vAlign w:val="center"/>
          </w:tcPr>
          <w:p w14:paraId="4C4044FB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5"/>
            <w:vMerge w:val="restart"/>
            <w:vAlign w:val="center"/>
          </w:tcPr>
          <w:p w14:paraId="58A33AC2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29" w:type="dxa"/>
            <w:gridSpan w:val="5"/>
            <w:vAlign w:val="center"/>
          </w:tcPr>
          <w:p w14:paraId="0911FBB2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F2DC9" w:rsidRPr="00C90707" w14:paraId="4DC53241" w14:textId="77777777" w:rsidTr="00842D55">
        <w:trPr>
          <w:trHeight w:val="50"/>
        </w:trPr>
        <w:tc>
          <w:tcPr>
            <w:tcW w:w="1560" w:type="dxa"/>
            <w:gridSpan w:val="3"/>
            <w:vMerge/>
            <w:vAlign w:val="center"/>
          </w:tcPr>
          <w:p w14:paraId="7D858D4B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vAlign w:val="center"/>
          </w:tcPr>
          <w:p w14:paraId="078A8417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9"/>
            <w:vMerge/>
            <w:vAlign w:val="center"/>
          </w:tcPr>
          <w:p w14:paraId="67FA13FC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7FDD9C22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5"/>
            <w:vMerge/>
            <w:vAlign w:val="center"/>
          </w:tcPr>
          <w:p w14:paraId="73BBD2A3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5"/>
            <w:vMerge/>
            <w:vAlign w:val="center"/>
          </w:tcPr>
          <w:p w14:paraId="078CB506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9" w:type="dxa"/>
            <w:gridSpan w:val="5"/>
            <w:vAlign w:val="center"/>
          </w:tcPr>
          <w:p w14:paraId="3C0959C2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2DC9" w:rsidRPr="00C90707" w14:paraId="75FDA7D8" w14:textId="77777777" w:rsidTr="00842D55">
        <w:trPr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48A4D149" w14:textId="45DF5FF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F2DC9" w:rsidRPr="00C90707" w14:paraId="645A5925" w14:textId="77777777" w:rsidTr="00842D55">
        <w:trPr>
          <w:trHeight w:val="187"/>
        </w:trPr>
        <w:tc>
          <w:tcPr>
            <w:tcW w:w="1560" w:type="dxa"/>
            <w:gridSpan w:val="3"/>
            <w:vAlign w:val="center"/>
          </w:tcPr>
          <w:p w14:paraId="07B770D0" w14:textId="6628CB2B" w:rsidR="00DF2DC9" w:rsidRPr="005E2957" w:rsidRDefault="00DF2DC9" w:rsidP="00DF2DC9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5"/>
            <w:vAlign w:val="center"/>
          </w:tcPr>
          <w:p w14:paraId="236F8F31" w14:textId="1403DC93" w:rsidR="00DF2DC9" w:rsidRPr="005E2957" w:rsidRDefault="00DF2DC9" w:rsidP="00DF2DC9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Էքսպերտ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Ինժիներինգ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1701" w:type="dxa"/>
            <w:gridSpan w:val="9"/>
            <w:vAlign w:val="center"/>
          </w:tcPr>
          <w:p w14:paraId="09D5040D" w14:textId="3E94B92C" w:rsidR="00DF2DC9" w:rsidRPr="005E2957" w:rsidRDefault="00DF2DC9" w:rsidP="00DF2DC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26/05 </w:t>
            </w:r>
          </w:p>
        </w:tc>
        <w:tc>
          <w:tcPr>
            <w:tcW w:w="1134" w:type="dxa"/>
            <w:gridSpan w:val="3"/>
            <w:vAlign w:val="center"/>
          </w:tcPr>
          <w:p w14:paraId="4C091182" w14:textId="37923BBF" w:rsidR="00DF2DC9" w:rsidRPr="00EB2067" w:rsidRDefault="00DF2DC9" w:rsidP="00DF2DC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05.03.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613" w:type="dxa"/>
            <w:gridSpan w:val="5"/>
            <w:vAlign w:val="center"/>
          </w:tcPr>
          <w:p w14:paraId="12F17734" w14:textId="5343B26E" w:rsidR="00DF2DC9" w:rsidRPr="005E2957" w:rsidRDefault="00DF2DC9" w:rsidP="00DF2DC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Պայմանագիրը</w:t>
            </w:r>
            <w:proofErr w:type="spellEnd"/>
            <w:r w:rsidRPr="005E29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կնքելուց</w:t>
            </w:r>
            <w:proofErr w:type="spellEnd"/>
            <w:r w:rsidRPr="005E29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հետո</w:t>
            </w:r>
            <w:proofErr w:type="spellEnd"/>
            <w:r w:rsidRPr="005E29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մեկ</w:t>
            </w:r>
            <w:proofErr w:type="spellEnd"/>
            <w:r w:rsidRPr="005E29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ամսվա</w:t>
            </w:r>
            <w:proofErr w:type="spellEnd"/>
            <w:r w:rsidRPr="005E29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5"/>
            <w:vAlign w:val="center"/>
          </w:tcPr>
          <w:p w14:paraId="5476CA99" w14:textId="3DEE809C" w:rsidR="00DF2DC9" w:rsidRPr="00EB2067" w:rsidRDefault="00DF2DC9" w:rsidP="00DF2DC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vAlign w:val="center"/>
          </w:tcPr>
          <w:p w14:paraId="6C473F13" w14:textId="0B325614" w:rsidR="00DF2DC9" w:rsidRPr="00EB2067" w:rsidRDefault="00DF2DC9" w:rsidP="00DF2DC9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0" w:type="dxa"/>
            <w:vAlign w:val="center"/>
          </w:tcPr>
          <w:p w14:paraId="044BA089" w14:textId="03200EF9" w:rsidR="00DF2DC9" w:rsidRPr="005E2957" w:rsidRDefault="00DF2DC9" w:rsidP="00DF2DC9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920000</w:t>
            </w:r>
          </w:p>
        </w:tc>
      </w:tr>
      <w:tr w:rsidR="00DF2DC9" w:rsidRPr="00C90707" w14:paraId="62C37C74" w14:textId="77777777" w:rsidTr="00842D55">
        <w:trPr>
          <w:trHeight w:val="187"/>
        </w:trPr>
        <w:tc>
          <w:tcPr>
            <w:tcW w:w="1560" w:type="dxa"/>
            <w:gridSpan w:val="3"/>
            <w:vAlign w:val="center"/>
          </w:tcPr>
          <w:p w14:paraId="4507DE96" w14:textId="77777777" w:rsidR="00DF2DC9" w:rsidRPr="00EB2067" w:rsidRDefault="00DF2DC9" w:rsidP="00DF2DC9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9F2F948" w14:textId="77777777" w:rsidR="00DF2DC9" w:rsidRPr="00EB2067" w:rsidRDefault="00DF2DC9" w:rsidP="00DF2DC9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9"/>
            <w:vAlign w:val="center"/>
          </w:tcPr>
          <w:p w14:paraId="5952225C" w14:textId="77777777" w:rsidR="00DF2DC9" w:rsidRPr="00EB2067" w:rsidRDefault="00DF2DC9" w:rsidP="00DF2DC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FD1025" w14:textId="77777777" w:rsidR="00DF2DC9" w:rsidRPr="00EB2067" w:rsidRDefault="00DF2DC9" w:rsidP="00DF2DC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3" w:type="dxa"/>
            <w:gridSpan w:val="5"/>
            <w:vAlign w:val="center"/>
          </w:tcPr>
          <w:p w14:paraId="0D61246D" w14:textId="77777777" w:rsidR="00DF2DC9" w:rsidRPr="00EB2067" w:rsidRDefault="00DF2DC9" w:rsidP="00DF2DC9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62BF19ED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1099" w:type="dxa"/>
            <w:gridSpan w:val="4"/>
            <w:vAlign w:val="center"/>
          </w:tcPr>
          <w:p w14:paraId="58527901" w14:textId="77777777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30" w:type="dxa"/>
            <w:vAlign w:val="center"/>
          </w:tcPr>
          <w:p w14:paraId="6EF90862" w14:textId="77777777" w:rsidR="00DF2DC9" w:rsidRPr="00C90707" w:rsidRDefault="00DF2DC9" w:rsidP="00DF2DC9">
            <w:pPr>
              <w:spacing w:before="0" w:after="0"/>
              <w:ind w:left="0" w:hanging="26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</w:tr>
      <w:tr w:rsidR="00DF2DC9" w:rsidRPr="00DB011A" w14:paraId="41E4ED39" w14:textId="77777777" w:rsidTr="00FF2C25">
        <w:trPr>
          <w:trHeight w:val="150"/>
        </w:trPr>
        <w:tc>
          <w:tcPr>
            <w:tcW w:w="10774" w:type="dxa"/>
            <w:gridSpan w:val="35"/>
            <w:vAlign w:val="center"/>
          </w:tcPr>
          <w:p w14:paraId="7265AE84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F2DC9" w:rsidRPr="00C90707" w14:paraId="1F657639" w14:textId="77777777" w:rsidTr="00FF2C25">
        <w:trPr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066D7382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center"/>
          </w:tcPr>
          <w:p w14:paraId="2FF506DD" w14:textId="78843D00" w:rsidR="00DF2DC9" w:rsidRPr="00EB206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vAlign w:val="center"/>
          </w:tcPr>
          <w:p w14:paraId="66150E72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DF2DC9" w:rsidRPr="00EB206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25716FC8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F2DC9" w:rsidRPr="00C90707" w14:paraId="0416DEDF" w14:textId="77777777" w:rsidTr="00FF2C25">
        <w:trPr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13A5C84" w14:textId="2743EBBF" w:rsidR="00DF2DC9" w:rsidRPr="00FF2C25" w:rsidRDefault="00DF2DC9" w:rsidP="00DF2DC9">
            <w:pPr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center"/>
          </w:tcPr>
          <w:p w14:paraId="46FC1EBA" w14:textId="469717B5" w:rsidR="00DF2DC9" w:rsidRPr="005E2957" w:rsidRDefault="00DF2DC9" w:rsidP="00DF2DC9">
            <w:pPr>
              <w:spacing w:before="0" w:after="0"/>
              <w:ind w:left="0" w:firstLine="4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Էքսպերտ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Ինժիներինգ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vAlign w:val="center"/>
          </w:tcPr>
          <w:p w14:paraId="585CEC11" w14:textId="77777777" w:rsidR="00DF2DC9" w:rsidRPr="005E2957" w:rsidRDefault="00DF2DC9" w:rsidP="00DF2DC9">
            <w:pPr>
              <w:spacing w:before="0" w:after="0"/>
              <w:ind w:left="0" w:firstLine="31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Կոտայքի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մարզ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գ.Զովունի</w:t>
            </w:r>
            <w:proofErr w:type="spellEnd"/>
            <w:proofErr w:type="gram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, 1-ին փ. 106-2</w:t>
            </w:r>
          </w:p>
          <w:p w14:paraId="51339931" w14:textId="7FD923F6" w:rsidR="00DF2DC9" w:rsidRPr="005E2957" w:rsidRDefault="00DF2DC9" w:rsidP="00DF2DC9">
            <w:pPr>
              <w:shd w:val="clear" w:color="auto" w:fill="FFFFFF"/>
              <w:spacing w:before="0" w:after="0"/>
              <w:ind w:left="0" w:firstLine="31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Հեռ</w:t>
            </w:r>
            <w:proofErr w:type="spellEnd"/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 (093) 97-92-09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4388BB8D" w14:textId="484581C3" w:rsidR="00DF2DC9" w:rsidRPr="005E2957" w:rsidRDefault="00DF2DC9" w:rsidP="00DF2DC9">
            <w:pPr>
              <w:shd w:val="clear" w:color="auto" w:fill="FFFFFF"/>
              <w:spacing w:before="0" w:after="0"/>
              <w:ind w:left="0" w:firstLine="31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expert-eng-group@yandex.com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vAlign w:val="center"/>
          </w:tcPr>
          <w:p w14:paraId="6F8FE663" w14:textId="3822AA7E" w:rsidR="00DF2DC9" w:rsidRPr="005E295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31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vAlign w:val="center"/>
          </w:tcPr>
          <w:p w14:paraId="7E865FD1" w14:textId="6FB042B6" w:rsidR="00DF2DC9" w:rsidRPr="005E295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5E29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00507114</w:t>
            </w:r>
          </w:p>
        </w:tc>
      </w:tr>
      <w:tr w:rsidR="00DF2DC9" w:rsidRPr="00C90707" w14:paraId="496A046D" w14:textId="77777777" w:rsidTr="00FF2C25">
        <w:trPr>
          <w:trHeight w:val="385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393BE26B" w14:textId="0A72E738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DF2DC9" w:rsidRPr="00923136" w14:paraId="3863A00B" w14:textId="77777777" w:rsidTr="00FF2C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DF2DC9" w:rsidRPr="00C90707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0354FA8" w:rsidR="00DF2DC9" w:rsidRPr="003E09AC" w:rsidRDefault="00DF2DC9" w:rsidP="00DF2D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DB011A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 w:rsidRPr="00DB011A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pt-BR" w:eastAsia="ru-RU"/>
              </w:rPr>
              <w:t xml:space="preserve">` </w:t>
            </w:r>
          </w:p>
        </w:tc>
      </w:tr>
      <w:tr w:rsidR="00DF2DC9" w:rsidRPr="00923136" w14:paraId="485BF528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60FF974B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DF2DC9" w:rsidRPr="00E05D92" w14:paraId="7DB42300" w14:textId="77777777" w:rsidTr="00FF2C25">
        <w:trPr>
          <w:trHeight w:val="288"/>
        </w:trPr>
        <w:tc>
          <w:tcPr>
            <w:tcW w:w="10774" w:type="dxa"/>
            <w:gridSpan w:val="35"/>
            <w:vAlign w:val="center"/>
          </w:tcPr>
          <w:p w14:paraId="0AD8E25E" w14:textId="220FF687" w:rsidR="00DF2DC9" w:rsidRPr="00C90707" w:rsidRDefault="00DF2DC9" w:rsidP="00DF2DC9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DF2DC9" w:rsidRPr="00C90707" w:rsidRDefault="00DF2DC9" w:rsidP="00DF2DC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DF2DC9" w:rsidRPr="00C90707" w:rsidRDefault="00DF2DC9" w:rsidP="00DF2DC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DF2DC9" w:rsidRPr="00C90707" w:rsidRDefault="00DF2DC9" w:rsidP="00DF2DC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DF2DC9" w:rsidRPr="00C90707" w:rsidRDefault="00DF2DC9" w:rsidP="00DF2DC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DF2DC9" w:rsidRPr="00C90707" w:rsidRDefault="00DF2DC9" w:rsidP="00DF2DC9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DF2DC9" w:rsidRPr="00C90707" w:rsidRDefault="00DF2DC9" w:rsidP="00DF2DC9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4C501ADC" w:rsidR="00DF2DC9" w:rsidRPr="00C90707" w:rsidRDefault="00DF2DC9" w:rsidP="00DF2DC9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DF2DC9" w:rsidRPr="00E05D92" w14:paraId="3CC8B38C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02AFA8BF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2DC9" w:rsidRPr="00E05D92" w14:paraId="5484FA73" w14:textId="77777777" w:rsidTr="00FF2C25">
        <w:trPr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</w:tcPr>
          <w:p w14:paraId="7A9CE343" w14:textId="77777777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</w:tcPr>
          <w:p w14:paraId="71E23D47" w14:textId="77777777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DF2DC9" w:rsidRPr="00E05D92" w14:paraId="5A7FED5D" w14:textId="6827D5A8" w:rsidTr="00FF2C25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A66F2DC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2DC9" w:rsidRPr="00E05D92" w14:paraId="40B30E88" w14:textId="77777777" w:rsidTr="00FF2C25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vAlign w:val="center"/>
          </w:tcPr>
          <w:p w14:paraId="78C1E3F8" w14:textId="77777777" w:rsidR="00DF2DC9" w:rsidRPr="00C9070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47440036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DF2DC9" w:rsidRPr="00E05D92" w14:paraId="541BD7F7" w14:textId="16C8ED43" w:rsidTr="00FF2C25">
        <w:trPr>
          <w:trHeight w:val="50"/>
        </w:trPr>
        <w:tc>
          <w:tcPr>
            <w:tcW w:w="1077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2DC9" w:rsidRPr="00E05D92" w14:paraId="4DE14D25" w14:textId="77777777" w:rsidTr="00FF2C25">
        <w:trPr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vAlign w:val="center"/>
          </w:tcPr>
          <w:p w14:paraId="4B38F772" w14:textId="476B513F" w:rsidR="00DF2DC9" w:rsidRPr="00C9070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14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63C158DC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DF2DC9" w:rsidRPr="00E05D92" w14:paraId="1DAD5D5C" w14:textId="77777777" w:rsidTr="00FF2C25">
        <w:trPr>
          <w:trHeight w:val="288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57597369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2DC9" w:rsidRPr="00C90707" w14:paraId="5F667D89" w14:textId="77777777" w:rsidTr="00FF2C25">
        <w:trPr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DF2DC9" w:rsidRPr="00C9070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8" w:type="dxa"/>
            <w:gridSpan w:val="29"/>
            <w:tcBorders>
              <w:bottom w:val="single" w:sz="8" w:space="0" w:color="auto"/>
            </w:tcBorders>
            <w:vAlign w:val="center"/>
          </w:tcPr>
          <w:p w14:paraId="13FCAC31" w14:textId="77777777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F2DC9" w:rsidRPr="00C90707" w14:paraId="406B68D6" w14:textId="77777777" w:rsidTr="00FF2C25">
        <w:trPr>
          <w:trHeight w:val="50"/>
        </w:trPr>
        <w:tc>
          <w:tcPr>
            <w:tcW w:w="10774" w:type="dxa"/>
            <w:gridSpan w:val="35"/>
            <w:shd w:val="clear" w:color="auto" w:fill="99CCFF"/>
            <w:vAlign w:val="center"/>
          </w:tcPr>
          <w:p w14:paraId="79EAD146" w14:textId="77777777" w:rsidR="00DF2DC9" w:rsidRPr="00C90707" w:rsidRDefault="00DF2DC9" w:rsidP="00DF2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2DC9" w:rsidRPr="00C90707" w14:paraId="1A2BD291" w14:textId="77777777" w:rsidTr="00FF2C25">
        <w:trPr>
          <w:trHeight w:val="227"/>
        </w:trPr>
        <w:tc>
          <w:tcPr>
            <w:tcW w:w="10774" w:type="dxa"/>
            <w:gridSpan w:val="35"/>
            <w:vAlign w:val="center"/>
          </w:tcPr>
          <w:p w14:paraId="73A19DB3" w14:textId="77777777" w:rsidR="00DF2DC9" w:rsidRPr="00C9070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2DC9" w:rsidRPr="00C90707" w14:paraId="002AF1AD" w14:textId="77777777" w:rsidTr="00FF2C25">
        <w:trPr>
          <w:trHeight w:val="47"/>
        </w:trPr>
        <w:tc>
          <w:tcPr>
            <w:tcW w:w="3182" w:type="dxa"/>
            <w:gridSpan w:val="9"/>
            <w:tcBorders>
              <w:bottom w:val="single" w:sz="8" w:space="0" w:color="auto"/>
            </w:tcBorders>
            <w:vAlign w:val="center"/>
          </w:tcPr>
          <w:p w14:paraId="1E39C5F1" w14:textId="77777777" w:rsidR="00DF2DC9" w:rsidRPr="00C9070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DF2DC9" w:rsidRPr="00C9070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3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DF2DC9" w:rsidRPr="00C90707" w:rsidRDefault="00DF2DC9" w:rsidP="00DF2D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F2DC9" w:rsidRPr="00C90707" w14:paraId="6C6C269C" w14:textId="77777777" w:rsidTr="00FF2C25">
        <w:trPr>
          <w:trHeight w:val="47"/>
        </w:trPr>
        <w:tc>
          <w:tcPr>
            <w:tcW w:w="3182" w:type="dxa"/>
            <w:gridSpan w:val="9"/>
            <w:vAlign w:val="center"/>
          </w:tcPr>
          <w:p w14:paraId="0A862370" w14:textId="7695093D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5"/>
            <w:vAlign w:val="center"/>
          </w:tcPr>
          <w:p w14:paraId="570A2BE5" w14:textId="7AF7ECAE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3" w:type="dxa"/>
            <w:gridSpan w:val="11"/>
            <w:vAlign w:val="center"/>
          </w:tcPr>
          <w:p w14:paraId="3C42DEDA" w14:textId="24D9ED1B" w:rsidR="00DF2DC9" w:rsidRPr="00C90707" w:rsidRDefault="00DF2DC9" w:rsidP="00DF2D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1E01" w14:textId="77777777" w:rsidR="000F55DF" w:rsidRDefault="000F55DF" w:rsidP="0022631D">
      <w:pPr>
        <w:spacing w:before="0" w:after="0"/>
      </w:pPr>
      <w:r>
        <w:separator/>
      </w:r>
    </w:p>
  </w:endnote>
  <w:endnote w:type="continuationSeparator" w:id="0">
    <w:p w14:paraId="0C0C468F" w14:textId="77777777" w:rsidR="000F55DF" w:rsidRDefault="000F55D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C22F" w14:textId="77777777" w:rsidR="000F55DF" w:rsidRDefault="000F55DF" w:rsidP="0022631D">
      <w:pPr>
        <w:spacing w:before="0" w:after="0"/>
      </w:pPr>
      <w:r>
        <w:separator/>
      </w:r>
    </w:p>
  </w:footnote>
  <w:footnote w:type="continuationSeparator" w:id="0">
    <w:p w14:paraId="5338CC81" w14:textId="77777777" w:rsidR="000F55DF" w:rsidRDefault="000F55DF" w:rsidP="0022631D">
      <w:pPr>
        <w:spacing w:before="0" w:after="0"/>
      </w:pPr>
      <w:r>
        <w:continuationSeparator/>
      </w:r>
    </w:p>
  </w:footnote>
  <w:footnote w:id="1">
    <w:p w14:paraId="73E33F31" w14:textId="058CEB05" w:rsidR="001A3F76" w:rsidRPr="00541A77" w:rsidRDefault="001A3F76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5E2957" w:rsidRPr="002D0BF6" w:rsidRDefault="005E295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E2957" w:rsidRPr="002D0BF6" w:rsidRDefault="005E2957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B7516"/>
    <w:multiLevelType w:val="hybridMultilevel"/>
    <w:tmpl w:val="45EC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C6F7B"/>
    <w:multiLevelType w:val="multilevel"/>
    <w:tmpl w:val="1A4C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3FE8"/>
    <w:multiLevelType w:val="hybridMultilevel"/>
    <w:tmpl w:val="BF26A6A4"/>
    <w:lvl w:ilvl="0" w:tplc="042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E51827"/>
    <w:multiLevelType w:val="multilevel"/>
    <w:tmpl w:val="8CD675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01A"/>
    <w:multiLevelType w:val="hybridMultilevel"/>
    <w:tmpl w:val="3598595C"/>
    <w:lvl w:ilvl="0" w:tplc="042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740A7"/>
    <w:multiLevelType w:val="hybridMultilevel"/>
    <w:tmpl w:val="F160A95A"/>
    <w:lvl w:ilvl="0" w:tplc="042B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41831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0624687">
    <w:abstractNumId w:val="7"/>
  </w:num>
  <w:num w:numId="3" w16cid:durableId="780299432">
    <w:abstractNumId w:val="4"/>
  </w:num>
  <w:num w:numId="4" w16cid:durableId="1336689008">
    <w:abstractNumId w:val="9"/>
  </w:num>
  <w:num w:numId="5" w16cid:durableId="1948656514">
    <w:abstractNumId w:val="12"/>
  </w:num>
  <w:num w:numId="6" w16cid:durableId="251672238">
    <w:abstractNumId w:val="10"/>
  </w:num>
  <w:num w:numId="7" w16cid:durableId="18483226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781377">
    <w:abstractNumId w:val="13"/>
  </w:num>
  <w:num w:numId="9" w16cid:durableId="2076006586">
    <w:abstractNumId w:val="2"/>
  </w:num>
  <w:num w:numId="10" w16cid:durableId="781194427">
    <w:abstractNumId w:val="14"/>
  </w:num>
  <w:num w:numId="11" w16cid:durableId="394397718">
    <w:abstractNumId w:val="8"/>
  </w:num>
  <w:num w:numId="12" w16cid:durableId="53090393">
    <w:abstractNumId w:val="3"/>
  </w:num>
  <w:num w:numId="13" w16cid:durableId="813252345">
    <w:abstractNumId w:val="11"/>
  </w:num>
  <w:num w:numId="14" w16cid:durableId="519316046">
    <w:abstractNumId w:val="5"/>
  </w:num>
  <w:num w:numId="15" w16cid:durableId="456723660">
    <w:abstractNumId w:val="6"/>
  </w:num>
  <w:num w:numId="16" w16cid:durableId="1998877361">
    <w:abstractNumId w:val="15"/>
  </w:num>
  <w:num w:numId="17" w16cid:durableId="206328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55DF"/>
    <w:rsid w:val="000F6D0D"/>
    <w:rsid w:val="000F7073"/>
    <w:rsid w:val="001021B0"/>
    <w:rsid w:val="00135551"/>
    <w:rsid w:val="00140CDF"/>
    <w:rsid w:val="0015121E"/>
    <w:rsid w:val="00153A01"/>
    <w:rsid w:val="0015480D"/>
    <w:rsid w:val="00163956"/>
    <w:rsid w:val="001652AC"/>
    <w:rsid w:val="001762D9"/>
    <w:rsid w:val="0018422F"/>
    <w:rsid w:val="001871E4"/>
    <w:rsid w:val="001A1999"/>
    <w:rsid w:val="001A3F76"/>
    <w:rsid w:val="001B2F60"/>
    <w:rsid w:val="001B43DE"/>
    <w:rsid w:val="001C0460"/>
    <w:rsid w:val="001C1BE1"/>
    <w:rsid w:val="001C4FEC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A12DC"/>
    <w:rsid w:val="003B2758"/>
    <w:rsid w:val="003B60DB"/>
    <w:rsid w:val="003C0294"/>
    <w:rsid w:val="003E09AC"/>
    <w:rsid w:val="003E3D40"/>
    <w:rsid w:val="003E6978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C6127"/>
    <w:rsid w:val="004D078F"/>
    <w:rsid w:val="004D4036"/>
    <w:rsid w:val="004E376E"/>
    <w:rsid w:val="004F734F"/>
    <w:rsid w:val="004F7F73"/>
    <w:rsid w:val="00503BCC"/>
    <w:rsid w:val="0050684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E2957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711E"/>
    <w:rsid w:val="0065720A"/>
    <w:rsid w:val="00665C9E"/>
    <w:rsid w:val="00690ECB"/>
    <w:rsid w:val="00695904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21D12"/>
    <w:rsid w:val="007246CC"/>
    <w:rsid w:val="00736285"/>
    <w:rsid w:val="00741851"/>
    <w:rsid w:val="0075246C"/>
    <w:rsid w:val="0077072A"/>
    <w:rsid w:val="00771035"/>
    <w:rsid w:val="007732E7"/>
    <w:rsid w:val="00777C9E"/>
    <w:rsid w:val="0078247F"/>
    <w:rsid w:val="00785350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42D55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493A"/>
    <w:rsid w:val="008E6C71"/>
    <w:rsid w:val="008E78FD"/>
    <w:rsid w:val="008F18BE"/>
    <w:rsid w:val="008F3F5A"/>
    <w:rsid w:val="009158C2"/>
    <w:rsid w:val="0091707B"/>
    <w:rsid w:val="009202FC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47CFA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3CC1"/>
    <w:rsid w:val="00C247A6"/>
    <w:rsid w:val="00C3761F"/>
    <w:rsid w:val="00C52493"/>
    <w:rsid w:val="00C72AEB"/>
    <w:rsid w:val="00C84DF7"/>
    <w:rsid w:val="00C8668F"/>
    <w:rsid w:val="00C90707"/>
    <w:rsid w:val="00C93439"/>
    <w:rsid w:val="00C96337"/>
    <w:rsid w:val="00C96BED"/>
    <w:rsid w:val="00CA4914"/>
    <w:rsid w:val="00CB2B8B"/>
    <w:rsid w:val="00CB44D2"/>
    <w:rsid w:val="00CB6309"/>
    <w:rsid w:val="00CC1F23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2DC9"/>
    <w:rsid w:val="00DF3D93"/>
    <w:rsid w:val="00E00769"/>
    <w:rsid w:val="00E03D81"/>
    <w:rsid w:val="00E04574"/>
    <w:rsid w:val="00E05D92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F16D0"/>
    <w:rsid w:val="00F10AFE"/>
    <w:rsid w:val="00F13DEE"/>
    <w:rsid w:val="00F25381"/>
    <w:rsid w:val="00F31004"/>
    <w:rsid w:val="00F550F2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2731</Words>
  <Characters>15571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Marinaa</cp:lastModifiedBy>
  <cp:revision>156</cp:revision>
  <cp:lastPrinted>2025-10-16T15:24:00Z</cp:lastPrinted>
  <dcterms:created xsi:type="dcterms:W3CDTF">2022-03-19T10:32:00Z</dcterms:created>
  <dcterms:modified xsi:type="dcterms:W3CDTF">2026-03-17T11:53:00Z</dcterms:modified>
</cp:coreProperties>
</file>