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CA" w:rsidRPr="000272A4" w:rsidRDefault="00A837CA" w:rsidP="00A837CA">
      <w:pPr>
        <w:jc w:val="center"/>
        <w:rPr>
          <w:rFonts w:ascii="Sylfaen" w:hAnsi="Sylfaen" w:cs="Sylfaen"/>
          <w:b/>
          <w:color w:val="0D0D0D" w:themeColor="text1" w:themeTint="F2"/>
          <w:szCs w:val="24"/>
          <w:lang w:val="hy-AM"/>
        </w:rPr>
      </w:pPr>
    </w:p>
    <w:p w:rsidR="00A837CA" w:rsidRPr="000272A4" w:rsidRDefault="00A837CA" w:rsidP="00A837CA">
      <w:pPr>
        <w:jc w:val="center"/>
        <w:rPr>
          <w:rFonts w:ascii="Sylfaen" w:hAnsi="Sylfaen"/>
          <w:b/>
          <w:color w:val="0D0D0D" w:themeColor="text1" w:themeTint="F2"/>
          <w:szCs w:val="24"/>
          <w:lang w:val="af-ZA"/>
        </w:rPr>
      </w:pP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>ՀԱՅՏԱՐԱՐՈՒԹՅՈՒՆ</w:t>
      </w:r>
    </w:p>
    <w:p w:rsidR="00A837CA" w:rsidRPr="000272A4" w:rsidRDefault="00A837CA" w:rsidP="00A837CA">
      <w:pPr>
        <w:jc w:val="center"/>
        <w:rPr>
          <w:rFonts w:ascii="Sylfaen" w:hAnsi="Sylfaen"/>
          <w:color w:val="0D0D0D" w:themeColor="text1" w:themeTint="F2"/>
          <w:sz w:val="20"/>
          <w:lang w:val="af-ZA"/>
        </w:rPr>
      </w:pPr>
      <w:r w:rsidRPr="000272A4">
        <w:rPr>
          <w:rFonts w:ascii="Sylfaen" w:hAnsi="Sylfaen" w:cs="Sylfaen"/>
          <w:b/>
          <w:color w:val="0D0D0D" w:themeColor="text1" w:themeTint="F2"/>
          <w:szCs w:val="24"/>
          <w:lang w:val="hy-AM"/>
        </w:rPr>
        <w:t>ԳՆԱՆՇՄԱՆ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hy-AM"/>
        </w:rPr>
        <w:t>ՀԱՐՑՄԱՆ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hy-AM"/>
        </w:rPr>
        <w:t>ՁԵՎՈՎ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hy-AM"/>
        </w:rPr>
        <w:t>ԳՆՈՒՄ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hy-AM"/>
        </w:rPr>
        <w:t>ԿԱՏԱՐԵԼՈՒ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 xml:space="preserve"> ԸՆԹԱՑԱԿԱՐԳՈՎ</w:t>
      </w:r>
      <w:r w:rsidRPr="000272A4">
        <w:rPr>
          <w:rFonts w:ascii="Sylfaen" w:hAnsi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>ՊԱՅՄԱՆԱԳԻՐ</w:t>
      </w:r>
      <w:r w:rsidRPr="000272A4">
        <w:rPr>
          <w:rFonts w:ascii="Sylfaen" w:hAnsi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>ԿՆՔԵԼՈՒ</w:t>
      </w:r>
      <w:r w:rsidRPr="000272A4">
        <w:rPr>
          <w:rFonts w:ascii="Sylfaen" w:hAnsi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>ՈՐՈՇՄԱՆ</w:t>
      </w:r>
      <w:r w:rsidRPr="000272A4">
        <w:rPr>
          <w:rFonts w:ascii="Sylfaen" w:hAnsi="Sylfaen"/>
          <w:b/>
          <w:color w:val="0D0D0D" w:themeColor="text1" w:themeTint="F2"/>
          <w:szCs w:val="24"/>
          <w:lang w:val="af-ZA"/>
        </w:rPr>
        <w:t xml:space="preserve"> </w:t>
      </w:r>
      <w:r w:rsidRPr="000272A4">
        <w:rPr>
          <w:rFonts w:ascii="Sylfaen" w:hAnsi="Sylfaen" w:cs="Sylfaen"/>
          <w:b/>
          <w:color w:val="0D0D0D" w:themeColor="text1" w:themeTint="F2"/>
          <w:szCs w:val="24"/>
          <w:lang w:val="af-ZA"/>
        </w:rPr>
        <w:t>ՄԱՍԻՆ</w:t>
      </w:r>
    </w:p>
    <w:p w:rsidR="00A837CA" w:rsidRPr="000272A4" w:rsidRDefault="00A837CA" w:rsidP="00A837CA">
      <w:pPr>
        <w:pStyle w:val="3"/>
        <w:ind w:firstLine="0"/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</w:pP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Հայտարարության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սույն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տեքստը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հաստատված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է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գնահատող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հանձնաժողովի</w:t>
      </w:r>
    </w:p>
    <w:p w:rsidR="00A837CA" w:rsidRPr="000272A4" w:rsidRDefault="00A837CA" w:rsidP="00A837CA">
      <w:pPr>
        <w:pStyle w:val="3"/>
        <w:ind w:firstLine="0"/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</w:pP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20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hy-AM"/>
        </w:rPr>
        <w:t>2</w:t>
      </w:r>
      <w:r>
        <w:rPr>
          <w:rFonts w:ascii="Sylfaen" w:hAnsi="Sylfaen"/>
          <w:b w:val="0"/>
          <w:color w:val="0D0D0D" w:themeColor="text1" w:themeTint="F2"/>
          <w:sz w:val="18"/>
          <w:szCs w:val="18"/>
          <w:lang w:val="hy-AM"/>
        </w:rPr>
        <w:t>3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թվականի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hy-AM"/>
        </w:rPr>
        <w:t xml:space="preserve"> </w:t>
      </w:r>
      <w:r>
        <w:rPr>
          <w:rFonts w:ascii="Sylfaen" w:hAnsi="Sylfaen"/>
          <w:b w:val="0"/>
          <w:color w:val="0D0D0D" w:themeColor="text1" w:themeTint="F2"/>
          <w:sz w:val="18"/>
          <w:szCs w:val="18"/>
          <w:lang w:val="hy-AM"/>
        </w:rPr>
        <w:t xml:space="preserve"> փետրվարի 3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>-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ի</w:t>
      </w:r>
      <w:r w:rsidRPr="000272A4">
        <w:rPr>
          <w:rFonts w:ascii="Sylfaen" w:hAnsi="Sylfaen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թիվ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hy-AM"/>
        </w:rPr>
        <w:t xml:space="preserve"> 2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 xml:space="preserve"> նիստի որոշմամբ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և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հրապարակվում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է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</w:p>
    <w:p w:rsidR="00A837CA" w:rsidRPr="000272A4" w:rsidRDefault="00A837CA" w:rsidP="00A837CA">
      <w:pPr>
        <w:pStyle w:val="3"/>
        <w:ind w:firstLine="0"/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</w:pP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>«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Գնումների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մասին»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ՀՀ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օրենքի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10-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րդ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հոդվածի</w:t>
      </w:r>
      <w:r w:rsidRPr="000272A4">
        <w:rPr>
          <w:rFonts w:ascii="Sylfaen" w:hAnsi="Sylfaen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>համաձայն</w:t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ab/>
      </w:r>
      <w:r w:rsidRPr="000272A4">
        <w:rPr>
          <w:rFonts w:ascii="Sylfaen" w:hAnsi="Sylfaen" w:cs="Sylfaen"/>
          <w:b w:val="0"/>
          <w:color w:val="0D0D0D" w:themeColor="text1" w:themeTint="F2"/>
          <w:sz w:val="18"/>
          <w:szCs w:val="18"/>
          <w:lang w:val="af-ZA"/>
        </w:rPr>
        <w:tab/>
      </w:r>
    </w:p>
    <w:p w:rsidR="00A837CA" w:rsidRPr="000272A4" w:rsidRDefault="00A837CA" w:rsidP="00A837CA">
      <w:pPr>
        <w:pStyle w:val="3"/>
        <w:ind w:firstLine="0"/>
        <w:rPr>
          <w:rFonts w:ascii="Sylfaen" w:hAnsi="Sylfaen"/>
          <w:bCs/>
          <w:iCs/>
          <w:color w:val="0D0D0D" w:themeColor="text1" w:themeTint="F2"/>
          <w:sz w:val="24"/>
          <w:szCs w:val="24"/>
          <w:lang w:val="af-ZA"/>
        </w:rPr>
      </w:pP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ԸՆԹԱՑԱԿԱՐԳԻ ԾԱԾԿԱԳԻՐԸ` 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fr-FR"/>
        </w:rPr>
        <w:t>«</w:t>
      </w:r>
      <w:r w:rsidRPr="00261BC1">
        <w:rPr>
          <w:rFonts w:ascii="Sylfaen" w:hAnsi="Sylfaen"/>
          <w:color w:val="000000"/>
          <w:sz w:val="24"/>
          <w:szCs w:val="24"/>
          <w:lang w:val="fr-FR"/>
        </w:rPr>
        <w:t>ԱԲԿ-ԳՀԱՊՁԲ-24/1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fr-FR"/>
        </w:rPr>
        <w:t>»</w:t>
      </w:r>
    </w:p>
    <w:p w:rsidR="00A837CA" w:rsidRPr="000272A4" w:rsidRDefault="00A837CA" w:rsidP="00A837CA">
      <w:pPr>
        <w:pStyle w:val="3"/>
        <w:ind w:firstLine="0"/>
        <w:rPr>
          <w:rFonts w:ascii="Sylfaen" w:hAnsi="Sylfaen"/>
          <w:color w:val="0D0D0D" w:themeColor="text1" w:themeTint="F2"/>
          <w:sz w:val="24"/>
          <w:szCs w:val="24"/>
          <w:lang w:val="af-ZA"/>
        </w:rPr>
      </w:pP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Պատվիրատուն</w:t>
      </w:r>
      <w:r w:rsidRPr="00D2548C">
        <w:rPr>
          <w:rFonts w:ascii="GHEA Grapalat" w:hAnsi="GHEA Grapalat"/>
          <w:color w:val="0D0D0D" w:themeColor="text1" w:themeTint="F2"/>
          <w:sz w:val="20"/>
          <w:lang w:val="af-ZA"/>
        </w:rPr>
        <w:t>`</w:t>
      </w:r>
      <w:r w:rsidRPr="00D2548C">
        <w:rPr>
          <w:rFonts w:ascii="GHEA Grapalat" w:hAnsi="GHEA Grapalat"/>
          <w:sz w:val="20"/>
          <w:lang w:val="af-ZA"/>
        </w:rPr>
        <w:t>&lt;&lt;Ախուրյանի բժշկական</w:t>
      </w:r>
      <w:r w:rsidRPr="00D2548C">
        <w:rPr>
          <w:rFonts w:ascii="GHEA Grapalat" w:hAnsi="GHEA Grapalat"/>
          <w:sz w:val="20"/>
          <w:lang w:val="hy-AM"/>
        </w:rPr>
        <w:t xml:space="preserve">  </w:t>
      </w:r>
      <w:r w:rsidRPr="00D2548C">
        <w:rPr>
          <w:rFonts w:ascii="GHEA Grapalat" w:hAnsi="GHEA Grapalat"/>
          <w:sz w:val="20"/>
          <w:lang w:val="af-ZA"/>
        </w:rPr>
        <w:t>կենտրոն&gt;&gt; ՓԲԸ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 xml:space="preserve"> -ը, </w:t>
      </w:r>
      <w:r>
        <w:rPr>
          <w:rFonts w:ascii="Sylfaen" w:hAnsi="Sylfaen" w:cs="Sylfaen"/>
          <w:bCs/>
          <w:color w:val="0D0D0D" w:themeColor="text1" w:themeTint="F2"/>
          <w:sz w:val="24"/>
          <w:szCs w:val="24"/>
          <w:lang w:val="hy-AM"/>
        </w:rPr>
        <w:t>գ</w:t>
      </w:r>
      <w:r w:rsidRPr="000272A4">
        <w:rPr>
          <w:rFonts w:ascii="Sylfaen" w:hAnsi="Sylfaen" w:cs="Sylfaen"/>
          <w:bCs/>
          <w:color w:val="0D0D0D" w:themeColor="text1" w:themeTint="F2"/>
          <w:sz w:val="24"/>
          <w:szCs w:val="24"/>
          <w:lang w:val="af-ZA"/>
        </w:rPr>
        <w:t>.</w:t>
      </w:r>
      <w:r>
        <w:rPr>
          <w:rFonts w:ascii="Sylfaen" w:hAnsi="Sylfaen" w:cs="Sylfaen"/>
          <w:bCs/>
          <w:color w:val="0D0D0D" w:themeColor="text1" w:themeTint="F2"/>
          <w:sz w:val="24"/>
          <w:szCs w:val="24"/>
          <w:lang w:val="hy-AM"/>
        </w:rPr>
        <w:t>Ախուրյան</w:t>
      </w:r>
      <w:r w:rsidRPr="000272A4">
        <w:rPr>
          <w:rFonts w:ascii="Sylfaen" w:hAnsi="Sylfaen" w:cs="Sylfaen"/>
          <w:bCs/>
          <w:color w:val="0D0D0D" w:themeColor="text1" w:themeTint="F2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bCs/>
          <w:color w:val="0D0D0D" w:themeColor="text1" w:themeTint="F2"/>
          <w:sz w:val="24"/>
          <w:szCs w:val="24"/>
          <w:lang w:val="hy-AM"/>
        </w:rPr>
        <w:t>Ախուրյանի խճ․</w:t>
      </w:r>
      <w:r w:rsidRPr="000272A4">
        <w:rPr>
          <w:rFonts w:ascii="Sylfaen" w:hAnsi="Sylfaen" w:cs="Sylfaen"/>
          <w:bCs/>
          <w:color w:val="0D0D0D" w:themeColor="text1" w:themeTint="F2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bCs/>
          <w:color w:val="0D0D0D" w:themeColor="text1" w:themeTint="F2"/>
          <w:sz w:val="24"/>
          <w:szCs w:val="24"/>
          <w:lang w:val="hy-AM"/>
        </w:rPr>
        <w:t>14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bCs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հասցեում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,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ստորև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ներկայացնում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/>
          <w:color w:val="0D0D0D" w:themeColor="text1" w:themeTint="F2"/>
          <w:sz w:val="24"/>
          <w:szCs w:val="18"/>
          <w:lang w:val="fr-FR"/>
        </w:rPr>
        <w:t>«</w:t>
      </w:r>
      <w:r w:rsidRPr="00261BC1">
        <w:rPr>
          <w:rFonts w:ascii="Sylfaen" w:hAnsi="Sylfaen"/>
          <w:color w:val="000000"/>
          <w:sz w:val="24"/>
          <w:szCs w:val="24"/>
          <w:lang w:val="fr-FR"/>
        </w:rPr>
        <w:t>ԱԲԿ-ԳՀԱՊՁԲ-24/1</w:t>
      </w:r>
      <w:r w:rsidRPr="000272A4">
        <w:rPr>
          <w:rFonts w:ascii="Sylfaen" w:hAnsi="Sylfaen"/>
          <w:color w:val="0D0D0D" w:themeColor="text1" w:themeTint="F2"/>
          <w:sz w:val="24"/>
          <w:szCs w:val="18"/>
          <w:lang w:val="fr-FR"/>
        </w:rPr>
        <w:t>»</w:t>
      </w:r>
      <w:r w:rsidRPr="000272A4">
        <w:rPr>
          <w:rFonts w:ascii="Sylfaen" w:hAnsi="Sylfaen"/>
          <w:color w:val="0D0D0D" w:themeColor="text1" w:themeTint="F2"/>
          <w:sz w:val="22"/>
          <w:szCs w:val="22"/>
          <w:lang w:val="fr-FR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ծածկագրով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հայտարարված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ընթացակարգով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պայմանագիր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կնքելու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որոշման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մասին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համառոտ</w:t>
      </w:r>
      <w:r w:rsidRPr="000272A4">
        <w:rPr>
          <w:rFonts w:ascii="Sylfaen" w:hAnsi="Sylfaen"/>
          <w:color w:val="0D0D0D" w:themeColor="text1" w:themeTint="F2"/>
          <w:sz w:val="24"/>
          <w:szCs w:val="24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4"/>
          <w:szCs w:val="24"/>
          <w:lang w:val="af-ZA"/>
        </w:rPr>
        <w:t>տեղեկատվությունը</w:t>
      </w:r>
      <w:r w:rsidRPr="000272A4">
        <w:rPr>
          <w:rFonts w:ascii="Sylfaen" w:hAnsi="Sylfaen" w:cs="Arial Armenian"/>
          <w:color w:val="0D0D0D" w:themeColor="text1" w:themeTint="F2"/>
          <w:sz w:val="24"/>
          <w:szCs w:val="24"/>
          <w:lang w:val="af-ZA"/>
        </w:rPr>
        <w:t>։</w:t>
      </w:r>
    </w:p>
    <w:p w:rsidR="00A837CA" w:rsidRPr="000272A4" w:rsidRDefault="00A837CA" w:rsidP="00A837CA">
      <w:pPr>
        <w:ind w:firstLine="706"/>
        <w:jc w:val="both"/>
        <w:rPr>
          <w:rFonts w:ascii="Sylfaen" w:hAnsi="Sylfaen" w:cs="Sylfaen"/>
          <w:color w:val="0D0D0D" w:themeColor="text1" w:themeTint="F2"/>
          <w:sz w:val="20"/>
          <w:szCs w:val="18"/>
          <w:lang w:val="es-ES"/>
        </w:rPr>
      </w:pP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Գնահատող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հանձնաժողովի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 </w:t>
      </w:r>
      <w:r w:rsidRPr="00AB6A55">
        <w:rPr>
          <w:rFonts w:ascii="Sylfaen" w:hAnsi="Sylfaen"/>
          <w:color w:val="0D0D0D" w:themeColor="text1" w:themeTint="F2"/>
          <w:sz w:val="18"/>
          <w:szCs w:val="18"/>
          <w:lang w:val="af-ZA"/>
        </w:rPr>
        <w:t>20</w:t>
      </w:r>
      <w:r w:rsidRPr="00AB6A55">
        <w:rPr>
          <w:rFonts w:ascii="Sylfaen" w:hAnsi="Sylfaen"/>
          <w:color w:val="0D0D0D" w:themeColor="text1" w:themeTint="F2"/>
          <w:sz w:val="18"/>
          <w:szCs w:val="18"/>
          <w:lang w:val="hy-AM"/>
        </w:rPr>
        <w:t>23</w:t>
      </w:r>
      <w:r w:rsidRPr="00AB6A55">
        <w:rPr>
          <w:rFonts w:ascii="Sylfaen" w:hAnsi="Sylfaen"/>
          <w:color w:val="0D0D0D" w:themeColor="text1" w:themeTint="F2"/>
          <w:sz w:val="18"/>
          <w:szCs w:val="18"/>
          <w:lang w:val="af-ZA"/>
        </w:rPr>
        <w:t xml:space="preserve"> </w:t>
      </w:r>
      <w:r w:rsidRPr="00AB6A55">
        <w:rPr>
          <w:rFonts w:ascii="Sylfaen" w:hAnsi="Sylfaen" w:cs="Sylfaen"/>
          <w:color w:val="0D0D0D" w:themeColor="text1" w:themeTint="F2"/>
          <w:sz w:val="18"/>
          <w:szCs w:val="18"/>
          <w:lang w:val="af-ZA"/>
        </w:rPr>
        <w:t>թվականի</w:t>
      </w:r>
      <w:r w:rsidRPr="00AB6A55">
        <w:rPr>
          <w:rFonts w:ascii="Sylfaen" w:hAnsi="Sylfaen"/>
          <w:color w:val="0D0D0D" w:themeColor="text1" w:themeTint="F2"/>
          <w:sz w:val="18"/>
          <w:szCs w:val="18"/>
          <w:lang w:val="af-ZA"/>
        </w:rPr>
        <w:t xml:space="preserve"> </w:t>
      </w:r>
      <w:r w:rsidRPr="00AB6A55">
        <w:rPr>
          <w:rFonts w:ascii="Sylfaen" w:hAnsi="Sylfaen"/>
          <w:color w:val="0D0D0D" w:themeColor="text1" w:themeTint="F2"/>
          <w:sz w:val="18"/>
          <w:szCs w:val="18"/>
          <w:lang w:val="hy-AM"/>
        </w:rPr>
        <w:t xml:space="preserve">  փետրվարի 3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>-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ի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թիվ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hy-AM"/>
        </w:rPr>
        <w:t>2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 xml:space="preserve"> նիստի որոշմամբ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հաստատվել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են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ընթացակարգի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բոլոր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մասնակիցների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կողմից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ներկայացված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հայտերի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`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հրավերի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պահանջներին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համապատասխանության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գնահատման</w:t>
      </w:r>
      <w:r w:rsidRPr="000272A4">
        <w:rPr>
          <w:rFonts w:ascii="Sylfaen" w:hAnsi="Sylfaen"/>
          <w:color w:val="0D0D0D" w:themeColor="text1" w:themeTint="F2"/>
          <w:sz w:val="20"/>
          <w:szCs w:val="18"/>
          <w:lang w:val="af-ZA"/>
        </w:rPr>
        <w:t xml:space="preserve"> 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af-ZA"/>
        </w:rPr>
        <w:t>արդյունքները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hy-AM"/>
        </w:rPr>
        <w:t>։</w:t>
      </w:r>
      <w:r w:rsidRPr="000272A4">
        <w:rPr>
          <w:rFonts w:ascii="Sylfaen" w:hAnsi="Sylfaen" w:cs="Sylfaen"/>
          <w:color w:val="0D0D0D" w:themeColor="text1" w:themeTint="F2"/>
          <w:sz w:val="20"/>
          <w:szCs w:val="18"/>
          <w:lang w:val="es-ES"/>
        </w:rPr>
        <w:t xml:space="preserve"> Համաձայն որի`</w:t>
      </w:r>
    </w:p>
    <w:p w:rsidR="00A837CA" w:rsidRPr="000272A4" w:rsidRDefault="00A837CA" w:rsidP="00A837CA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  <w:r w:rsidRPr="000272A4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 xml:space="preserve">             Չափաբաժին</w:t>
      </w:r>
      <w:r w:rsidRPr="000272A4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1</w:t>
      </w:r>
      <w:r w:rsidRPr="000272A4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0272A4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</w:p>
    <w:p w:rsidR="00A837CA" w:rsidRPr="000272A4" w:rsidRDefault="00A837CA" w:rsidP="00A837CA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0272A4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0272A4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0272A4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0272A4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0272A4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>
        <w:rPr>
          <w:rFonts w:ascii="Sylfaen" w:hAnsi="Sylfaen"/>
          <w:lang w:val="hy-AM"/>
        </w:rPr>
        <w:t>Բենզին ռեգուլյար</w:t>
      </w:r>
    </w:p>
    <w:tbl>
      <w:tblPr>
        <w:tblW w:w="10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670"/>
        <w:gridCol w:w="2141"/>
        <w:gridCol w:w="2439"/>
        <w:gridCol w:w="2990"/>
      </w:tblGrid>
      <w:tr w:rsidR="00A837CA" w:rsidRPr="000272A4" w:rsidTr="002F3721">
        <w:trPr>
          <w:trHeight w:val="6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7CA" w:rsidRPr="000272A4" w:rsidTr="002F3721">
        <w:trPr>
          <w:trHeight w:val="46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A" w:rsidRPr="000272A4" w:rsidRDefault="00A837CA" w:rsidP="002F3721">
            <w:pPr>
              <w:jc w:val="center"/>
              <w:rPr>
                <w:rFonts w:ascii="Sylfaen" w:hAnsi="Sylfaen" w:cs="Arial"/>
                <w:bCs/>
                <w:color w:val="0D0D0D" w:themeColor="text1" w:themeTint="F2"/>
                <w:sz w:val="18"/>
                <w:szCs w:val="18"/>
                <w:lang w:val="af-ZA"/>
              </w:rPr>
            </w:pPr>
            <w:r w:rsidRPr="007701E9">
              <w:rPr>
                <w:rFonts w:ascii="Sylfaen" w:hAnsi="Sylfaen"/>
                <w:bCs/>
                <w:lang w:val="hy-AM"/>
              </w:rPr>
              <w:t>«ՖԼԵՇ»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7CA" w:rsidRPr="000272A4" w:rsidRDefault="00A837CA" w:rsidP="002F3721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</w:pPr>
          </w:p>
        </w:tc>
      </w:tr>
      <w:tr w:rsidR="00A837CA" w:rsidRPr="000272A4" w:rsidTr="002F3721">
        <w:trPr>
          <w:trHeight w:val="22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8"/>
                <w:lang w:val="hy-AM"/>
              </w:rPr>
            </w:pPr>
            <w:r w:rsidRPr="007701E9">
              <w:rPr>
                <w:rFonts w:ascii="Sylfaen" w:hAnsi="Sylfaen"/>
                <w:bCs/>
                <w:lang w:val="hy-AM"/>
              </w:rPr>
              <w:t>«Մաքս Օիլ»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</w:pP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</w:pPr>
          </w:p>
        </w:tc>
      </w:tr>
    </w:tbl>
    <w:p w:rsidR="00A837CA" w:rsidRPr="000272A4" w:rsidRDefault="00A837CA" w:rsidP="00A837CA">
      <w:pPr>
        <w:spacing w:line="360" w:lineRule="auto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87"/>
        <w:gridCol w:w="1589"/>
        <w:gridCol w:w="2816"/>
      </w:tblGrid>
      <w:tr w:rsidR="00A837CA" w:rsidRPr="00A837CA" w:rsidTr="002F372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0272A4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0272A4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A837CA" w:rsidRPr="000272A4" w:rsidTr="002F372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A" w:rsidRPr="000272A4" w:rsidRDefault="00A837CA" w:rsidP="002F3721">
            <w:pPr>
              <w:ind w:left="90" w:hanging="90"/>
              <w:contextualSpacing/>
              <w:jc w:val="center"/>
              <w:rPr>
                <w:rFonts w:ascii="Sylfaen" w:hAnsi="Sylfaen"/>
                <w:color w:val="0D0D0D" w:themeColor="text1" w:themeTint="F2"/>
                <w:sz w:val="18"/>
                <w:szCs w:val="16"/>
                <w:lang w:val="hy-AM"/>
              </w:rPr>
            </w:pPr>
            <w:r w:rsidRPr="007701E9">
              <w:rPr>
                <w:rFonts w:ascii="Sylfaen" w:hAnsi="Sylfaen"/>
                <w:bCs/>
                <w:lang w:val="hy-AM"/>
              </w:rPr>
              <w:t>«ՖԼԵՇ» ՍՊԸ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0272A4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lang w:val="hy-AM"/>
              </w:rPr>
              <w:t>2</w:t>
            </w:r>
            <w:r>
              <w:rPr>
                <w:rFonts w:ascii="Calibri" w:hAnsi="Calibri" w:cs="Calibri"/>
                <w:color w:val="0D0D0D" w:themeColor="text1" w:themeTint="F2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color w:val="0D0D0D" w:themeColor="text1" w:themeTint="F2"/>
                <w:sz w:val="20"/>
                <w:lang w:val="hy-AM"/>
              </w:rPr>
              <w:t>600 000</w:t>
            </w:r>
          </w:p>
        </w:tc>
      </w:tr>
      <w:tr w:rsidR="00A837CA" w:rsidRPr="000272A4" w:rsidTr="002F372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A" w:rsidRPr="000272A4" w:rsidRDefault="00A837CA" w:rsidP="002F3721">
            <w:pPr>
              <w:ind w:left="90" w:hanging="90"/>
              <w:contextualSpacing/>
              <w:jc w:val="center"/>
              <w:rPr>
                <w:rFonts w:ascii="GHEA Grapalat" w:hAnsi="GHEA Grapalat"/>
                <w:b/>
                <w:color w:val="0D0D0D" w:themeColor="text1" w:themeTint="F2"/>
                <w:sz w:val="18"/>
                <w:lang w:val="hy-AM"/>
              </w:rPr>
            </w:pPr>
            <w:r w:rsidRPr="007701E9">
              <w:rPr>
                <w:rFonts w:ascii="Sylfaen" w:hAnsi="Sylfaen"/>
                <w:bCs/>
                <w:lang w:val="hy-AM"/>
              </w:rPr>
              <w:t>«Մաքս Օիլ» ՍՊԸ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CA" w:rsidRPr="000272A4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37CA" w:rsidRPr="0018702B" w:rsidRDefault="00A837CA" w:rsidP="002F3721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lang w:val="hy-AM"/>
              </w:rPr>
              <w:t>2 625 000</w:t>
            </w:r>
          </w:p>
        </w:tc>
      </w:tr>
    </w:tbl>
    <w:p w:rsidR="00A837CA" w:rsidRPr="000272A4" w:rsidRDefault="00A837CA" w:rsidP="00A837CA">
      <w:pPr>
        <w:jc w:val="both"/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</w:pP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 xml:space="preserve">         Ընտրված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մասնակցին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որոշելու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համար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կիրառված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չափանիշ՝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 xml:space="preserve">հրավերով սահմանված պահանջներին համապատասխան և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hy-AM"/>
        </w:rPr>
        <w:t>նվազագույն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 xml:space="preserve"> գնային առաջարկ ներկայացրած։</w:t>
      </w:r>
    </w:p>
    <w:p w:rsidR="00A837CA" w:rsidRDefault="00A837CA" w:rsidP="00A837CA">
      <w:pPr>
        <w:jc w:val="both"/>
        <w:rPr>
          <w:rFonts w:ascii="GHEA Grapalat" w:hAnsi="GHEA Grapalat"/>
          <w:color w:val="0D0D0D" w:themeColor="text1" w:themeTint="F2"/>
          <w:sz w:val="18"/>
          <w:szCs w:val="18"/>
          <w:lang w:val="hy-AM"/>
        </w:rPr>
      </w:pPr>
      <w:r w:rsidRPr="000272A4">
        <w:rPr>
          <w:rFonts w:ascii="GHEA Grapalat" w:hAnsi="GHEA Grapalat"/>
          <w:color w:val="0D0D0D" w:themeColor="text1" w:themeTint="F2"/>
          <w:sz w:val="20"/>
          <w:lang w:val="hy-AM"/>
        </w:rPr>
        <w:t>«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 xml:space="preserve">Գնումների մասին» ՀՀ օրենքի 10-րդ հոդվածի </w:t>
      </w:r>
      <w:r w:rsidRPr="000272A4">
        <w:rPr>
          <w:rFonts w:ascii="GHEA Grapalat" w:hAnsi="GHEA Grapalat"/>
          <w:color w:val="0D0D0D" w:themeColor="text1" w:themeTint="F2"/>
          <w:sz w:val="18"/>
          <w:lang w:val="hy-AM"/>
        </w:rPr>
        <w:t xml:space="preserve"> 3-րդ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 xml:space="preserve"> մասերի համաձայն՝ </w:t>
      </w:r>
      <w:r w:rsidRPr="000272A4">
        <w:rPr>
          <w:rFonts w:ascii="GHEA Grapalat" w:hAnsi="GHEA Grapalat"/>
          <w:color w:val="0D0D0D" w:themeColor="text1" w:themeTint="F2"/>
          <w:sz w:val="18"/>
          <w:lang w:val="hy-AM"/>
        </w:rPr>
        <w:t>սահմանել անգործության ժամկետ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>։</w:t>
      </w:r>
    </w:p>
    <w:p w:rsidR="00A837CA" w:rsidRPr="00C01185" w:rsidRDefault="00A837CA" w:rsidP="00A837CA">
      <w:pPr>
        <w:jc w:val="both"/>
        <w:rPr>
          <w:rFonts w:ascii="GHEA Grapalat" w:hAnsi="GHEA Grapalat"/>
          <w:color w:val="0D0D0D" w:themeColor="text1" w:themeTint="F2"/>
          <w:sz w:val="14"/>
          <w:szCs w:val="14"/>
          <w:lang w:val="hy-AM"/>
        </w:rPr>
      </w:pPr>
      <w:r w:rsidRPr="00C01185">
        <w:rPr>
          <w:rFonts w:ascii="GHEA Grapalat" w:hAnsi="GHEA Grapalat"/>
          <w:sz w:val="20"/>
          <w:szCs w:val="16"/>
          <w:lang w:val="hy-AM"/>
        </w:rPr>
        <w:t>Անգործության ժամկետը սահմանվում է 10 օրացուցային օր։</w:t>
      </w:r>
    </w:p>
    <w:p w:rsidR="00A837CA" w:rsidRPr="000272A4" w:rsidRDefault="00A837CA" w:rsidP="00A837CA">
      <w:pPr>
        <w:ind w:firstLine="360"/>
        <w:jc w:val="both"/>
        <w:rPr>
          <w:rFonts w:ascii="GHEA Grapalat" w:hAnsi="GHEA Grapalat"/>
          <w:color w:val="0D0D0D" w:themeColor="text1" w:themeTint="F2"/>
          <w:sz w:val="18"/>
          <w:szCs w:val="18"/>
          <w:lang w:val="af-ZA"/>
        </w:rPr>
      </w:pP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Սույն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հայտարարության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հետ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կապված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լրացուցիչ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տեղեկություններ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ստանալու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համար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կարող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եք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դիմել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գնումների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 xml:space="preserve">համակարգող՝  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      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>Սիրանուշ Հովհաննիսյանին</w:t>
      </w:r>
      <w:r w:rsidRPr="000272A4">
        <w:rPr>
          <w:rFonts w:ascii="GHEA Grapalat" w:hAnsi="GHEA Grapalat" w:cs="Arial Armenian"/>
          <w:color w:val="0D0D0D" w:themeColor="text1" w:themeTint="F2"/>
          <w:sz w:val="18"/>
          <w:szCs w:val="18"/>
          <w:lang w:val="af-ZA"/>
        </w:rPr>
        <w:t>։</w:t>
      </w:r>
    </w:p>
    <w:p w:rsidR="00A837CA" w:rsidRPr="00D2548C" w:rsidRDefault="00A837CA" w:rsidP="00A837CA">
      <w:pPr>
        <w:ind w:firstLine="360"/>
        <w:jc w:val="both"/>
        <w:rPr>
          <w:rFonts w:ascii="GHEA Grapalat" w:hAnsi="GHEA Grapalat"/>
          <w:color w:val="0D0D0D" w:themeColor="text1" w:themeTint="F2"/>
          <w:sz w:val="18"/>
          <w:szCs w:val="18"/>
          <w:lang w:val="hy-AM"/>
        </w:rPr>
      </w:pP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 xml:space="preserve">Հեռախոս` </w:t>
      </w:r>
      <w:r>
        <w:rPr>
          <w:rFonts w:ascii="GHEA Grapalat" w:hAnsi="GHEA Grapalat" w:cs="Sylfaen"/>
          <w:color w:val="0D0D0D" w:themeColor="text1" w:themeTint="F2"/>
          <w:sz w:val="18"/>
          <w:szCs w:val="18"/>
          <w:lang w:val="hy-AM"/>
        </w:rPr>
        <w:t>077462990</w:t>
      </w:r>
    </w:p>
    <w:p w:rsidR="00A837CA" w:rsidRDefault="00A837CA" w:rsidP="00A837CA">
      <w:pPr>
        <w:spacing w:after="120"/>
        <w:ind w:firstLine="360"/>
        <w:jc w:val="both"/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</w:pP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Էլ</w:t>
      </w:r>
      <w:r w:rsidRPr="000272A4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. </w:t>
      </w:r>
      <w:r w:rsidRPr="000272A4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փոստ</w:t>
      </w:r>
      <w:r w:rsidRPr="00D2548C">
        <w:rPr>
          <w:rFonts w:ascii="GHEA Grapalat" w:hAnsi="GHEA Grapalat" w:cs="Sylfaen"/>
          <w:color w:val="0D0D0D" w:themeColor="text1" w:themeTint="F2"/>
          <w:sz w:val="20"/>
          <w:lang w:val="af-ZA"/>
        </w:rPr>
        <w:t>՝</w:t>
      </w:r>
      <w:r w:rsidRPr="00D2548C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hyperlink r:id="rId4">
        <w:r w:rsidRPr="00D2548C">
          <w:rPr>
            <w:rStyle w:val="a3"/>
            <w:rFonts w:ascii="GHEA Mariam" w:hAnsi="GHEA Mariam"/>
            <w:iCs/>
            <w:color w:val="000000" w:themeColor="text1"/>
            <w:sz w:val="20"/>
            <w:lang w:val="hy-AM"/>
          </w:rPr>
          <w:t>akhuryanibk@gmail.com</w:t>
        </w:r>
      </w:hyperlink>
    </w:p>
    <w:p w:rsidR="00A837CA" w:rsidRPr="00D2548C" w:rsidRDefault="00A837CA" w:rsidP="00A837CA">
      <w:pPr>
        <w:ind w:firstLine="360"/>
        <w:jc w:val="both"/>
        <w:rPr>
          <w:rFonts w:ascii="GHEA Grapalat" w:hAnsi="GHEA Grapalat"/>
          <w:color w:val="0D0D0D" w:themeColor="text1" w:themeTint="F2"/>
          <w:sz w:val="20"/>
          <w:lang w:val="af-ZA"/>
        </w:rPr>
      </w:pPr>
      <w:r w:rsidRPr="00D2548C">
        <w:rPr>
          <w:rFonts w:ascii="GHEA Grapalat" w:hAnsi="GHEA Grapalat" w:cs="Sylfaen"/>
          <w:color w:val="0D0D0D" w:themeColor="text1" w:themeTint="F2"/>
          <w:sz w:val="20"/>
          <w:lang w:val="af-ZA"/>
        </w:rPr>
        <w:t>Պատվիրատոu</w:t>
      </w:r>
      <w:r w:rsidRPr="00D2548C">
        <w:rPr>
          <w:rFonts w:ascii="GHEA Grapalat" w:hAnsi="GHEA Grapalat"/>
          <w:color w:val="0D0D0D" w:themeColor="text1" w:themeTint="F2"/>
          <w:sz w:val="20"/>
          <w:lang w:val="af-ZA"/>
        </w:rPr>
        <w:t>`</w:t>
      </w:r>
      <w:r w:rsidRPr="00D2548C">
        <w:rPr>
          <w:rFonts w:ascii="GHEA Grapalat" w:hAnsi="GHEA Grapalat"/>
          <w:b/>
          <w:sz w:val="20"/>
          <w:lang w:val="af-ZA"/>
        </w:rPr>
        <w:t>&lt;&lt;Ախուրյանի բժշկական</w:t>
      </w:r>
      <w:r w:rsidRPr="00D2548C">
        <w:rPr>
          <w:rFonts w:ascii="GHEA Grapalat" w:hAnsi="GHEA Grapalat"/>
          <w:b/>
          <w:sz w:val="20"/>
          <w:lang w:val="hy-AM"/>
        </w:rPr>
        <w:t xml:space="preserve">  </w:t>
      </w:r>
      <w:r w:rsidRPr="00D2548C">
        <w:rPr>
          <w:rFonts w:ascii="GHEA Grapalat" w:hAnsi="GHEA Grapalat"/>
          <w:b/>
          <w:sz w:val="20"/>
          <w:lang w:val="af-ZA"/>
        </w:rPr>
        <w:t>կենտրոն&gt;&gt; ՓԲԸ</w:t>
      </w:r>
    </w:p>
    <w:p w:rsidR="00A837CA" w:rsidRPr="0018702B" w:rsidRDefault="00A837CA" w:rsidP="00A837CA">
      <w:pPr>
        <w:spacing w:after="200" w:line="276" w:lineRule="auto"/>
        <w:rPr>
          <w:rFonts w:ascii="GHEA Grapalat" w:hAnsi="GHEA Grapalat"/>
          <w:b/>
          <w:color w:val="0D0D0D" w:themeColor="text1" w:themeTint="F2"/>
          <w:szCs w:val="24"/>
          <w:lang w:val="af-ZA"/>
        </w:rPr>
      </w:pPr>
      <w:bookmarkStart w:id="0" w:name="_GoBack"/>
      <w:bookmarkEnd w:id="0"/>
    </w:p>
    <w:p w:rsidR="006C09B5" w:rsidRPr="00A837CA" w:rsidRDefault="006C09B5" w:rsidP="00A837CA">
      <w:pPr>
        <w:spacing w:after="200" w:line="276" w:lineRule="auto"/>
        <w:rPr>
          <w:rFonts w:ascii="GHEA Grapalat" w:hAnsi="GHEA Grapalat"/>
          <w:b/>
          <w:color w:val="0D0D0D" w:themeColor="text1" w:themeTint="F2"/>
          <w:szCs w:val="24"/>
          <w:lang w:val="af-ZA"/>
        </w:rPr>
      </w:pPr>
    </w:p>
    <w:sectPr w:rsidR="006C09B5" w:rsidRPr="00A8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EB"/>
    <w:rsid w:val="002376EB"/>
    <w:rsid w:val="006C09B5"/>
    <w:rsid w:val="00A8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9F84B-1C40-4BC1-856C-4B746EC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837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37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rsid w:val="00A8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es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2023-12-15T07:11:00Z</dcterms:created>
  <dcterms:modified xsi:type="dcterms:W3CDTF">2023-12-15T07:11:00Z</dcterms:modified>
</cp:coreProperties>
</file>