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Pr="002C6628" w:rsidRDefault="00390603" w:rsidP="00395AA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866F60" w:rsidRPr="00866F60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</w:t>
      </w:r>
      <w:r w:rsidR="00866F60" w:rsidRPr="00866F60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ծառայության կարիքների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4A5D79">
        <w:rPr>
          <w:rFonts w:ascii="GHEA Grapalat" w:hAnsi="GHEA Grapalat"/>
          <w:b/>
          <w:i/>
          <w:lang w:val="af-ZA"/>
        </w:rPr>
        <w:t>ջեռուցման, հովացման համակարգերի</w:t>
      </w:r>
      <w:r w:rsidR="004A5D79" w:rsidRPr="001064FE">
        <w:rPr>
          <w:rFonts w:ascii="GHEA Grapalat" w:hAnsi="GHEA Grapalat"/>
          <w:b/>
          <w:i/>
          <w:lang w:val="af-ZA"/>
        </w:rPr>
        <w:t xml:space="preserve"> սպասարկման</w:t>
      </w:r>
      <w:r w:rsidR="004A5D79" w:rsidRPr="00711D10">
        <w:rPr>
          <w:rFonts w:ascii="GHEA Grapalat" w:hAnsi="GHEA Grapalat"/>
          <w:b/>
          <w:i/>
          <w:lang w:val="af-ZA"/>
        </w:rPr>
        <w:t xml:space="preserve"> </w:t>
      </w:r>
      <w:r w:rsidR="00147D50" w:rsidRPr="00FC3FD4">
        <w:rPr>
          <w:rFonts w:ascii="GHEA Grapalat" w:eastAsia="Calibri" w:hAnsi="GHEA Grapalat" w:cs="Times New Roman"/>
          <w:b/>
          <w:i/>
          <w:lang w:val="hy-AM"/>
        </w:rPr>
        <w:t>ծառայություններ</w:t>
      </w:r>
      <w:bookmarkEnd w:id="0"/>
      <w:bookmarkEnd w:id="1"/>
      <w:bookmarkEnd w:id="2"/>
      <w:r w:rsidR="00147D50" w:rsidRPr="00FC3FD4">
        <w:rPr>
          <w:rFonts w:ascii="GHEA Grapalat" w:eastAsia="Calibri" w:hAnsi="GHEA Grapalat" w:cs="Times New Roman"/>
          <w:b/>
          <w:i/>
          <w:lang w:val="hy-AM"/>
        </w:rPr>
        <w:t>ի</w:t>
      </w:r>
      <w:r w:rsidR="00164F67" w:rsidRPr="004A5D79">
        <w:rPr>
          <w:rFonts w:ascii="GHEA Grapalat" w:hAnsi="GHEA Grapalat" w:cs="Sylfaen"/>
          <w:i/>
          <w:lang w:val="af-ZA"/>
        </w:rPr>
        <w:t xml:space="preserve"> </w:t>
      </w:r>
      <w:bookmarkEnd w:id="3"/>
      <w:bookmarkEnd w:id="4"/>
      <w:bookmarkEnd w:id="5"/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 </w:t>
      </w:r>
      <w:bookmarkStart w:id="6" w:name="OLE_LINK76"/>
      <w:bookmarkStart w:id="7" w:name="OLE_LINK77"/>
      <w:bookmarkStart w:id="8" w:name="OLE_LINK78"/>
      <w:bookmarkStart w:id="9" w:name="OLE_LINK17"/>
      <w:bookmarkStart w:id="10" w:name="OLE_LINK18"/>
      <w:bookmarkStart w:id="11" w:name="OLE_LINK19"/>
      <w:bookmarkStart w:id="12" w:name="OLE_LINK31"/>
      <w:bookmarkStart w:id="13" w:name="OLE_LINK32"/>
      <w:r w:rsidR="004A5D79" w:rsidRPr="004A5D79">
        <w:rPr>
          <w:rFonts w:ascii="GHEA Grapalat" w:hAnsi="GHEA Grapalat"/>
          <w:b/>
          <w:i/>
          <w:lang w:val="af-ZA"/>
        </w:rPr>
        <w:t>ՀՔԾ-ԳՀԾՁԲ-ՋՀՀՍ-19/01</w:t>
      </w:r>
      <w:r w:rsidR="00147D50" w:rsidRPr="00147D50">
        <w:rPr>
          <w:rFonts w:ascii="GHEA Grapalat" w:hAnsi="GHEA Grapalat" w:cs="Sylfaen"/>
          <w:lang w:val="hy-AM"/>
        </w:rPr>
        <w:t xml:space="preserve"> </w:t>
      </w:r>
      <w:bookmarkEnd w:id="6"/>
      <w:bookmarkEnd w:id="7"/>
      <w:bookmarkEnd w:id="8"/>
      <w:r w:rsidR="00866F60" w:rsidRPr="00147D50">
        <w:rPr>
          <w:rFonts w:ascii="GHEA Grapalat" w:hAnsi="GHEA Grapalat"/>
          <w:b/>
          <w:lang w:val="hy-AM"/>
        </w:rPr>
        <w:t xml:space="preserve"> </w:t>
      </w:r>
      <w:bookmarkEnd w:id="9"/>
      <w:bookmarkEnd w:id="10"/>
      <w:bookmarkEnd w:id="11"/>
      <w:bookmarkEnd w:id="12"/>
      <w:bookmarkEnd w:id="13"/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866F60" w:rsidRPr="00866F60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4A5D79" w:rsidRPr="004A5D79">
        <w:rPr>
          <w:rFonts w:ascii="GHEA Grapalat" w:hAnsi="GHEA Grapalat" w:cs="Sylfaen"/>
          <w:lang w:val="hy-AM"/>
        </w:rPr>
        <w:t>ապրիլ</w:t>
      </w:r>
      <w:r w:rsidR="00147D50" w:rsidRPr="00147D50">
        <w:rPr>
          <w:rFonts w:ascii="GHEA Grapalat" w:hAnsi="GHEA Grapalat" w:cs="Sylfaen"/>
          <w:lang w:val="hy-AM"/>
        </w:rPr>
        <w:t>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4A5D79" w:rsidRPr="004A5D79">
        <w:rPr>
          <w:rFonts w:ascii="GHEA Grapalat" w:hAnsi="GHEA Grapalat" w:cs="Sylfaen"/>
          <w:lang w:val="hy-AM"/>
        </w:rPr>
        <w:t>29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bookmarkStart w:id="14" w:name="OLE_LINK5"/>
      <w:bookmarkStart w:id="15" w:name="OLE_LINK6"/>
      <w:bookmarkStart w:id="16" w:name="OLE_LINK7"/>
      <w:r w:rsidR="004A5D79" w:rsidRPr="004A5D79">
        <w:rPr>
          <w:rFonts w:ascii="GHEA Grapalat" w:hAnsi="GHEA Grapalat"/>
          <w:b/>
          <w:i/>
          <w:lang w:val="af-ZA"/>
        </w:rPr>
        <w:t>ՀՔԾ-ԳՀԾՁԲ-ՋՀՀՍ-19/01</w:t>
      </w:r>
      <w:r w:rsidR="004A5D79">
        <w:rPr>
          <w:rFonts w:ascii="GHEA Grapalat" w:hAnsi="GHEA Grapalat"/>
          <w:b/>
          <w:i/>
          <w:lang w:val="af-ZA"/>
        </w:rPr>
        <w:t>-1</w:t>
      </w:r>
      <w:r w:rsidR="004A5D79" w:rsidRPr="00147D50">
        <w:rPr>
          <w:rFonts w:ascii="GHEA Grapalat" w:hAnsi="GHEA Grapalat" w:cs="Sylfaen"/>
          <w:lang w:val="hy-AM"/>
        </w:rPr>
        <w:t xml:space="preserve"> </w:t>
      </w:r>
      <w:r w:rsidR="004A5D79" w:rsidRPr="00147D50">
        <w:rPr>
          <w:rFonts w:ascii="GHEA Grapalat" w:hAnsi="GHEA Grapalat"/>
          <w:b/>
          <w:lang w:val="hy-AM"/>
        </w:rPr>
        <w:t xml:space="preserve"> </w:t>
      </w:r>
      <w:r w:rsidR="00147D50" w:rsidRPr="000A7107">
        <w:rPr>
          <w:rFonts w:ascii="GHEA Grapalat" w:hAnsi="GHEA Grapalat" w:cs="Sylfaen"/>
          <w:lang w:val="hy-AM"/>
        </w:rPr>
        <w:t xml:space="preserve"> </w:t>
      </w:r>
      <w:r w:rsidR="00164F67" w:rsidRPr="00866F60">
        <w:rPr>
          <w:rFonts w:ascii="GHEA Grapalat" w:hAnsi="GHEA Grapalat"/>
          <w:b/>
          <w:lang w:val="hy-AM"/>
        </w:rPr>
        <w:t xml:space="preserve"> </w:t>
      </w:r>
      <w:bookmarkEnd w:id="14"/>
      <w:bookmarkEnd w:id="15"/>
      <w:bookmarkEnd w:id="16"/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5"/>
        <w:gridCol w:w="486"/>
        <w:gridCol w:w="49"/>
        <w:gridCol w:w="864"/>
        <w:gridCol w:w="21"/>
        <w:gridCol w:w="147"/>
        <w:gridCol w:w="28"/>
        <w:gridCol w:w="143"/>
        <w:gridCol w:w="553"/>
        <w:gridCol w:w="11"/>
        <w:gridCol w:w="179"/>
        <w:gridCol w:w="635"/>
        <w:gridCol w:w="119"/>
        <w:gridCol w:w="181"/>
        <w:gridCol w:w="284"/>
        <w:gridCol w:w="44"/>
        <w:gridCol w:w="120"/>
        <w:gridCol w:w="62"/>
        <w:gridCol w:w="8"/>
        <w:gridCol w:w="863"/>
        <w:gridCol w:w="35"/>
        <w:gridCol w:w="153"/>
        <w:gridCol w:w="283"/>
        <w:gridCol w:w="284"/>
        <w:gridCol w:w="294"/>
        <w:gridCol w:w="178"/>
        <w:gridCol w:w="95"/>
        <w:gridCol w:w="152"/>
        <w:gridCol w:w="115"/>
        <w:gridCol w:w="420"/>
        <w:gridCol w:w="30"/>
        <w:gridCol w:w="168"/>
        <w:gridCol w:w="37"/>
        <w:gridCol w:w="313"/>
        <w:gridCol w:w="384"/>
        <w:gridCol w:w="143"/>
        <w:gridCol w:w="125"/>
        <w:gridCol w:w="126"/>
        <w:gridCol w:w="54"/>
        <w:gridCol w:w="272"/>
        <w:gridCol w:w="612"/>
        <w:gridCol w:w="142"/>
        <w:gridCol w:w="145"/>
        <w:gridCol w:w="872"/>
      </w:tblGrid>
      <w:tr w:rsidR="00390603" w:rsidRPr="00233B94" w:rsidTr="00FC3FD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324" w:type="dxa"/>
            <w:gridSpan w:val="4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F97DBB" w:rsidTr="00FC3FD4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0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390603" w:rsidRPr="00BB02EF" w:rsidRDefault="00395AAF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ախահաշվայինգինը</w:t>
            </w:r>
          </w:p>
        </w:tc>
        <w:tc>
          <w:tcPr>
            <w:tcW w:w="2067" w:type="dxa"/>
            <w:gridSpan w:val="12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2043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CD4EC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233B94" w:rsidTr="00FC3FD4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93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067" w:type="dxa"/>
            <w:gridSpan w:val="12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3" w:type="dxa"/>
            <w:gridSpan w:val="5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FC3FD4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06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C3FD4" w:rsidRPr="004A5D79" w:rsidTr="00FC3FD4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FC3FD4" w:rsidRPr="00945CF2" w:rsidRDefault="00FC3FD4" w:rsidP="00FC3FD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147D50" w:rsidRDefault="00FC3FD4" w:rsidP="00FC3FD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0341">
              <w:rPr>
                <w:rFonts w:ascii="GHEA Grapalat" w:hAnsi="GHEA Grapalat"/>
                <w:sz w:val="16"/>
                <w:szCs w:val="16"/>
                <w:lang w:val="af-ZA"/>
              </w:rPr>
              <w:t>ջեռուցման, հովացման համակարգերի</w:t>
            </w:r>
            <w:r w:rsidRPr="0054388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վերանորոգման, փոխարինման,</w:t>
            </w:r>
            <w:r w:rsidRPr="008E0341">
              <w:rPr>
                <w:rFonts w:ascii="GHEA Grapalat" w:hAnsi="GHEA Grapalat"/>
                <w:sz w:val="16"/>
                <w:szCs w:val="16"/>
                <w:lang w:val="af-ZA"/>
              </w:rPr>
              <w:t xml:space="preserve"> սպասարկման ծառայություններ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147D50" w:rsidRDefault="00FC3FD4" w:rsidP="00FC3FD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147D50" w:rsidRDefault="00FC3FD4" w:rsidP="00FC3FD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147D50" w:rsidRDefault="00FC3FD4" w:rsidP="00FC3FD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402D6B" w:rsidRDefault="00FC3FD4" w:rsidP="00FC3FD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FD4" w:rsidRPr="00402D6B" w:rsidRDefault="00FC3FD4" w:rsidP="00FC3FD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4300000</w:t>
            </w:r>
          </w:p>
        </w:tc>
        <w:tc>
          <w:tcPr>
            <w:tcW w:w="20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t>ջեռուցման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>,</w:t>
            </w: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t xml:space="preserve"> հովացման համակարգ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>եր</w:t>
            </w: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t>ի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սպասարկում, վերանորոգում,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այդ թվում,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1.Դիագնոստիկա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2. Կաթսայի կրակայրիչի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3. Կաթսայի կրակայրիչի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4. Կաթսայի գազի փականի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5.Կաթսային շարժիչի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6. Կաթսայի շարժիչի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7. Կաթսայի էլեկտրական պլատայի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8. Կաթսայի էլեկտրական պլատայի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9. Կոմպրեսորների փոխարինում/այդ թվում կոմպրեսոր/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10.Ջերմափոխանակիչի փոխարինում /այդ թվում ջերմափոխանակիչ, տեղափոխում և տեղադրում/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11. Չիլլե</w:t>
            </w:r>
            <w:r w:rsidRPr="00FC3FD4">
              <w:rPr>
                <w:rFonts w:ascii="Sylfaen" w:hAnsi="Sylfaen" w:cs="Arial"/>
                <w:sz w:val="16"/>
                <w:szCs w:val="16"/>
                <w:lang w:val="hy-AM"/>
              </w:rPr>
              <w:t>ր</w:t>
            </w: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ի յուղի զտիչի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12.Ջրի հոսքի սենսորի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13. R22 Ֆրիոնի լիցքավորում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14. TVR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15. Ֆրիոնի ճնշման չափիչի սենսորների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16. Չիլլերի յուղի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17.Պոմպերի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18.Պոմպերի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19. Չիլլերի կոնդենսատորների լվացում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20.Էլեկտրական </w:t>
            </w: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վահանակների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>21.է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լեկտրականության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սնուցման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ավտոմատների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lastRenderedPageBreak/>
              <w:t>ջեռուցման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>,</w:t>
            </w: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t xml:space="preserve"> հովացման համակարգ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>եր</w:t>
            </w:r>
            <w:r w:rsidRPr="00FC3FD4">
              <w:rPr>
                <w:rFonts w:ascii="Sylfaen" w:hAnsi="Sylfaen" w:cs="GHEA Grapalat"/>
                <w:sz w:val="16"/>
                <w:szCs w:val="16"/>
                <w:lang w:val="pt-BR"/>
              </w:rPr>
              <w:t>ի</w:t>
            </w:r>
            <w:r w:rsidRPr="00FC3FD4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սպասարկում, վերանորոգում,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այդ թվում,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1.Դիագնոստիկա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2. Կաթսայի կրակայրիչի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3. Կաթսայի կրակայրիչի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4. Կաթսայի գազի փականի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5.Կաթսային շարժիչի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6. Կաթսայի շարժիչի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7. Կաթսայի էլեկտրական պլատայի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8. Կաթսայի էլեկտրական պլատայի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9. Կոմպրեսորների փոխարինում/այդ թվում կոմպրեսոր/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10.Ջերմափոխանակիչի փոխարինում /այդ թվում ջերմափոխանակիչ, տեղափոխում և տեղադրում/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11. Չիլլե</w:t>
            </w:r>
            <w:r w:rsidRPr="00FC3FD4">
              <w:rPr>
                <w:rFonts w:ascii="Sylfaen" w:hAnsi="Sylfaen" w:cs="Arial"/>
                <w:sz w:val="16"/>
                <w:szCs w:val="16"/>
                <w:lang w:val="hy-AM"/>
              </w:rPr>
              <w:t>ր</w:t>
            </w: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ի յուղի զտիչի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12.Ջրի հոսքի սենսորի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13. R22 Ֆրիոնի լիցքավորում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14. TVR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15. Ֆրիոնի ճնշման չափիչի սենսորների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16. Չիլլերի յուղի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17.Պոմպերի վերանորոգում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18.Պոմպերի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>19. Չիլլերի կոնդենսատորների լվացում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20.Էլեկտրական </w:t>
            </w:r>
            <w:r w:rsidRPr="00FC3FD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վահանակների փոխարինում</w:t>
            </w:r>
          </w:p>
          <w:p w:rsidR="00FC3FD4" w:rsidRPr="00FC3FD4" w:rsidRDefault="00FC3FD4" w:rsidP="00FC3FD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>21.է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լեկտրականության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սնուցման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ավտոմատների</w:t>
            </w:r>
            <w:proofErr w:type="spellEnd"/>
            <w:r w:rsidRPr="00FC3FD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C3FD4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</w:tr>
      <w:tr w:rsidR="00543888" w:rsidRPr="004A5D79" w:rsidTr="00FC3FD4">
        <w:trPr>
          <w:trHeight w:val="15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945CF2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rPr>
          <w:trHeight w:val="129"/>
        </w:trPr>
        <w:tc>
          <w:tcPr>
            <w:tcW w:w="40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99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7B4E23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</w:t>
            </w:r>
            <w:r w:rsidRPr="007B4E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</w:t>
            </w:r>
          </w:p>
        </w:tc>
      </w:tr>
      <w:tr w:rsidR="00543888" w:rsidRPr="00F97DBB" w:rsidTr="00FC3FD4">
        <w:trPr>
          <w:trHeight w:val="185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04.04.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7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79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7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A8330C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A8330C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543888" w:rsidRPr="00233B94" w:rsidTr="00FC3FD4">
        <w:trPr>
          <w:trHeight w:val="5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rPr>
          <w:trHeight w:val="38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46" w:type="dxa"/>
            <w:gridSpan w:val="8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48" w:type="dxa"/>
            <w:gridSpan w:val="33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ներկայացվածգինը</w:t>
            </w:r>
          </w:p>
        </w:tc>
      </w:tr>
      <w:tr w:rsidR="00543888" w:rsidRPr="00233B94" w:rsidTr="00FC3FD4">
        <w:trPr>
          <w:trHeight w:val="201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48" w:type="dxa"/>
            <w:gridSpan w:val="33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543888" w:rsidRPr="00233B94" w:rsidTr="00FC3FD4">
        <w:trPr>
          <w:trHeight w:val="129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543888" w:rsidRPr="00233B94" w:rsidTr="00FC3FD4">
        <w:trPr>
          <w:trHeight w:val="129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543888" w:rsidRPr="00233B94" w:rsidTr="00FC3FD4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94" w:type="dxa"/>
            <w:gridSpan w:val="41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D30834" w:rsidRPr="00233B94" w:rsidTr="00FC3FD4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D30834" w:rsidRPr="00BB02EF" w:rsidRDefault="00D30834" w:rsidP="00D308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D30834" w:rsidRPr="00CC1337" w:rsidRDefault="00CC1337" w:rsidP="00D308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133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Ա/Ձ Մեսրոպ Աղազարյան Վիգենի  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D30834" w:rsidRPr="00942769" w:rsidRDefault="00D30834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D30834" w:rsidRPr="00395AAF" w:rsidRDefault="00D30834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  <w:tc>
          <w:tcPr>
            <w:tcW w:w="1538" w:type="dxa"/>
            <w:gridSpan w:val="7"/>
            <w:shd w:val="clear" w:color="auto" w:fill="auto"/>
            <w:vAlign w:val="center"/>
          </w:tcPr>
          <w:p w:rsidR="00D30834" w:rsidRPr="00D30834" w:rsidRDefault="00D30834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D30834" w:rsidRPr="00D30834" w:rsidRDefault="00D30834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</w:tcPr>
          <w:p w:rsidR="00D30834" w:rsidRDefault="00D30834" w:rsidP="00F97DBB">
            <w:pPr>
              <w:jc w:val="center"/>
            </w:pPr>
            <w:r w:rsidRPr="00AB132E"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D30834" w:rsidRDefault="00D30834" w:rsidP="00F97DBB">
            <w:pPr>
              <w:jc w:val="center"/>
            </w:pPr>
            <w:r w:rsidRPr="00AB132E">
              <w:rPr>
                <w:rFonts w:ascii="GHEA Grapalat" w:hAnsi="GHEA Grapalat"/>
                <w:b/>
                <w:sz w:val="16"/>
                <w:szCs w:val="16"/>
              </w:rPr>
              <w:t>1730000</w:t>
            </w:r>
          </w:p>
        </w:tc>
      </w:tr>
      <w:tr w:rsidR="00543888" w:rsidRPr="00233B94" w:rsidTr="00FC3FD4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543888" w:rsidRPr="00543888" w:rsidRDefault="00B969CF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543888" w:rsidRPr="00F2535A" w:rsidRDefault="00E625F1" w:rsidP="0054388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&lt;&lt;ՊՐՈՄ ՎԵՆՏ&gt;&gt; ՍՊԸ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543888" w:rsidRDefault="00CC1337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2076</w:t>
            </w:r>
            <w:r w:rsidR="008802B6">
              <w:rPr>
                <w:rFonts w:ascii="GHEA Grapalat" w:hAnsi="GHEA Grapalat"/>
                <w:b/>
                <w:sz w:val="16"/>
                <w:szCs w:val="16"/>
              </w:rPr>
              <w:t>333.3</w:t>
            </w: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:rsidR="00543888" w:rsidRDefault="00CC1337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2076333</w:t>
            </w:r>
            <w:r w:rsidR="008802B6">
              <w:rPr>
                <w:rFonts w:ascii="GHEA Grapalat" w:hAnsi="GHEA Grapalat"/>
                <w:b/>
                <w:sz w:val="16"/>
                <w:szCs w:val="16"/>
              </w:rPr>
              <w:t>.3</w:t>
            </w:r>
          </w:p>
        </w:tc>
        <w:tc>
          <w:tcPr>
            <w:tcW w:w="1538" w:type="dxa"/>
            <w:gridSpan w:val="7"/>
            <w:shd w:val="clear" w:color="auto" w:fill="auto"/>
            <w:vAlign w:val="center"/>
          </w:tcPr>
          <w:p w:rsidR="00543888" w:rsidRPr="008802B6" w:rsidRDefault="008802B6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415266.7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543888" w:rsidRDefault="008802B6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415266.7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543888" w:rsidRDefault="008802B6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2491600</w:t>
            </w: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43888" w:rsidRDefault="008802B6" w:rsidP="00F97D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2491600</w:t>
            </w:r>
          </w:p>
        </w:tc>
      </w:tr>
      <w:tr w:rsidR="00543888" w:rsidRPr="00F97DBB" w:rsidTr="00FC3FD4">
        <w:trPr>
          <w:trHeight w:val="273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գների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3888" w:rsidRPr="00F97DBB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rPr>
          <w:trHeight w:val="382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543888" w:rsidRPr="002C6628" w:rsidTr="00FC3FD4">
        <w:trPr>
          <w:trHeight w:val="396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8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543888" w:rsidRPr="00233B94" w:rsidTr="00FC3FD4">
        <w:trPr>
          <w:trHeight w:val="304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543888" w:rsidRPr="00233B94" w:rsidTr="00FC3FD4">
        <w:trPr>
          <w:trHeight w:val="39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rPr>
          <w:trHeight w:val="3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3888" w:rsidRPr="00233B94" w:rsidTr="00FC3FD4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A8330C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543888" w:rsidRPr="00233B94" w:rsidTr="00FC3FD4">
        <w:trPr>
          <w:trHeight w:val="272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D96797" w:rsidTr="00FC3FD4">
        <w:trPr>
          <w:trHeight w:val="32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D96797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17" w:name="OLE_LINK25"/>
            <w:bookmarkStart w:id="18" w:name="OLE_LINK26"/>
            <w:bookmarkStart w:id="19" w:name="OLE_LINK27"/>
            <w:bookmarkStart w:id="20" w:name="OLE_LINK28"/>
            <w:bookmarkStart w:id="21" w:name="OLE_LINK29"/>
            <w:r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18.04. 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543888"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543888" w:rsidRPr="00D96797" w:rsidTr="00FC3FD4">
        <w:trPr>
          <w:trHeight w:val="87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543888" w:rsidRPr="00D31114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31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543888" w:rsidRPr="00D96797" w:rsidTr="00FC3FD4">
        <w:trPr>
          <w:trHeight w:val="87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96797" w:rsidRDefault="00D96797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19.04.</w:t>
            </w:r>
            <w:r w:rsidR="00543888"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31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96797" w:rsidRDefault="00D96797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23.04.</w:t>
            </w:r>
            <w:r w:rsidR="00543888" w:rsidRPr="00D967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</w:t>
            </w:r>
          </w:p>
        </w:tc>
      </w:tr>
      <w:tr w:rsidR="00543888" w:rsidRPr="00651A46" w:rsidTr="00FC3FD4">
        <w:trPr>
          <w:trHeight w:val="324"/>
        </w:trPr>
        <w:tc>
          <w:tcPr>
            <w:tcW w:w="11043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B969C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B969CF" w:rsidRPr="00B969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651A46" w:rsidRPr="00651A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651A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651A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888" w:rsidRPr="00233B94" w:rsidTr="00FC3FD4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B969CF" w:rsidP="00215E8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215E8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թ..</w:t>
            </w:r>
          </w:p>
        </w:tc>
      </w:tr>
      <w:tr w:rsidR="00543888" w:rsidRPr="00233B94" w:rsidTr="00FC3FD4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543888" w:rsidP="0054388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D31114" w:rsidRDefault="00B969CF" w:rsidP="00215E8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215E8D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54388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888" w:rsidRPr="00233B94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rPr>
          <w:trHeight w:val="136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809" w:type="dxa"/>
            <w:gridSpan w:val="39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543888" w:rsidRPr="00233B94" w:rsidTr="00FC3FD4">
        <w:trPr>
          <w:trHeight w:val="223"/>
        </w:trPr>
        <w:tc>
          <w:tcPr>
            <w:tcW w:w="719" w:type="dxa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  <w:r w:rsidR="00B969CF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27" w:type="dxa"/>
            <w:gridSpan w:val="6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225" w:type="dxa"/>
            <w:gridSpan w:val="12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543888" w:rsidRPr="00233B94" w:rsidTr="00FC3FD4">
        <w:trPr>
          <w:trHeight w:val="224"/>
        </w:trPr>
        <w:tc>
          <w:tcPr>
            <w:tcW w:w="719" w:type="dxa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6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25" w:type="dxa"/>
            <w:gridSpan w:val="12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543888" w:rsidRPr="00233B94" w:rsidTr="00FC3FD4">
        <w:trPr>
          <w:trHeight w:val="248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543888" w:rsidRPr="00233B94" w:rsidTr="00FC3FD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543888" w:rsidRPr="00BB6862" w:rsidRDefault="00B969CF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133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Ա/Ձ Մեսրոպ Աղազարյան Վիգենի  </w:t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543888" w:rsidRPr="00B969CF" w:rsidRDefault="00B969CF" w:rsidP="0054388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69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ՀՔԾ-ԳՀԾՁԲ-ՋՀՀՍ-19/01-1</w:t>
            </w:r>
            <w:r w:rsidR="00543888" w:rsidRPr="00B969CF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543888" w:rsidRPr="00BB02EF" w:rsidRDefault="00B969CF" w:rsidP="00B969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543888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543888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543888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543888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543888" w:rsidRPr="00CD4EC3" w:rsidRDefault="00F97DBB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969CF">
              <w:rPr>
                <w:rFonts w:ascii="GHEA Grapalat" w:hAnsi="GHEA Grapalat"/>
                <w:b/>
                <w:sz w:val="16"/>
                <w:szCs w:val="16"/>
              </w:rPr>
              <w:t>300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0</w:t>
            </w:r>
            <w:r w:rsidR="00B969CF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:rsidR="00543888" w:rsidRPr="00CD4EC3" w:rsidRDefault="00F97DBB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4300 000</w:t>
            </w:r>
          </w:p>
        </w:tc>
      </w:tr>
      <w:tr w:rsidR="00543888" w:rsidRPr="00233B94" w:rsidTr="00FC3FD4">
        <w:trPr>
          <w:trHeight w:val="104"/>
        </w:trPr>
        <w:tc>
          <w:tcPr>
            <w:tcW w:w="719" w:type="dxa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233B94" w:rsidTr="00FC3FD4">
        <w:trPr>
          <w:trHeight w:val="141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543888" w:rsidRPr="00233B94" w:rsidTr="00FC3FD4">
        <w:trPr>
          <w:trHeight w:val="11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 w:rsidR="005175D7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543888" w:rsidRPr="00B46A79" w:rsidTr="00FC3FD4">
        <w:trPr>
          <w:trHeight w:val="14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E64F9A" w:rsidRDefault="00B969CF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133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Ա/Ձ Մեսրոպ Աղազարյան Վիգենի  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46A79" w:rsidRDefault="002F3E8B" w:rsidP="002F3E8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B46A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Արարատի մարզ,</w:t>
            </w:r>
            <w:r w:rsidR="00B46A79" w:rsidRPr="00B46A7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գ.</w:t>
            </w:r>
            <w:r w:rsidR="00B46A79" w:rsidRPr="00F97DB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Սուրենավան, Արցախի 15տուն</w:t>
            </w:r>
            <w:r w:rsidRPr="00B46A7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F97DBB" w:rsidRDefault="005175D7" w:rsidP="005175D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bookmarkStart w:id="22" w:name="_GoBack"/>
            <w:r w:rsidRPr="00F97DBB">
              <w:rPr>
                <w:rFonts w:ascii="Sylfaen" w:hAnsi="Sylfaen"/>
                <w:b/>
                <w:sz w:val="20"/>
                <w:szCs w:val="20"/>
                <w:lang w:val="af-ZA"/>
              </w:rPr>
              <w:t>hvac.service@mail.ru</w:t>
            </w:r>
            <w:bookmarkEnd w:id="22"/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46A79" w:rsidRDefault="00AD4693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6A79">
              <w:rPr>
                <w:rFonts w:ascii="GHEA Grapalat" w:hAnsi="GHEA Grapalat" w:cs="Arial"/>
                <w:b/>
                <w:color w:val="222222"/>
                <w:sz w:val="16"/>
                <w:szCs w:val="16"/>
                <w:shd w:val="clear" w:color="auto" w:fill="FFFFFF"/>
                <w:lang w:val="hy-AM"/>
              </w:rPr>
              <w:t>16041034018800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46A79" w:rsidRDefault="005175D7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6A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84487224</w:t>
            </w:r>
          </w:p>
        </w:tc>
      </w:tr>
      <w:tr w:rsidR="00543888" w:rsidRPr="00B46A79" w:rsidTr="00FC3FD4">
        <w:trPr>
          <w:trHeight w:val="3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43888" w:rsidRPr="00B46A79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871979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9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888" w:rsidRPr="00BB02EF" w:rsidRDefault="00543888" w:rsidP="00543888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3888" w:rsidRPr="00F97DBB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523A5D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rPr>
          <w:trHeight w:val="448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43888" w:rsidRPr="00BB02EF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543888" w:rsidRPr="00F97DBB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523A5D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43888" w:rsidRPr="00233B94" w:rsidTr="00FC3FD4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E95916" w:rsidRDefault="00543888" w:rsidP="00543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43888" w:rsidRPr="00233B94" w:rsidTr="00FC3FD4">
        <w:trPr>
          <w:trHeight w:val="271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888" w:rsidRPr="001757E6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3888" w:rsidRPr="00233B94" w:rsidTr="00FC3FD4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43888" w:rsidRPr="00233B94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1757E6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3888" w:rsidRPr="00233B94" w:rsidTr="00FC3FD4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43888" w:rsidRPr="00233B94" w:rsidTr="00FC3FD4">
        <w:trPr>
          <w:trHeight w:val="27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43888" w:rsidRPr="001757E6" w:rsidRDefault="00543888" w:rsidP="0054388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43888" w:rsidRPr="00233B94" w:rsidTr="00FC3FD4">
        <w:trPr>
          <w:trHeight w:val="214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3888" w:rsidRPr="00233B94" w:rsidTr="00FC3FD4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888" w:rsidRPr="00233B94" w:rsidRDefault="00543888" w:rsidP="0054388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543888" w:rsidRPr="00233B94" w:rsidTr="00FC3FD4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543888" w:rsidRPr="00233B94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543888" w:rsidRPr="00233B94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58" w:type="dxa"/>
            <w:gridSpan w:val="16"/>
            <w:shd w:val="clear" w:color="auto" w:fill="auto"/>
            <w:vAlign w:val="center"/>
          </w:tcPr>
          <w:p w:rsidR="00543888" w:rsidRPr="001757E6" w:rsidRDefault="00543888" w:rsidP="0054388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CD4EC3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CD4EC3">
        <w:rPr>
          <w:rFonts w:ascii="GHEA Grapalat" w:hAnsi="GHEA Grapalat"/>
          <w:sz w:val="20"/>
        </w:rPr>
        <w:t xml:space="preserve"> 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CD4EC3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55" w:rsidRDefault="00D27A55" w:rsidP="00BF3D99">
      <w:pPr>
        <w:spacing w:after="0" w:line="240" w:lineRule="auto"/>
      </w:pPr>
      <w:r>
        <w:separator/>
      </w:r>
    </w:p>
  </w:endnote>
  <w:endnote w:type="continuationSeparator" w:id="0">
    <w:p w:rsidR="00D27A55" w:rsidRDefault="00D27A5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A74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97DB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97DB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97DB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55" w:rsidRDefault="00D27A55" w:rsidP="00BF3D99">
      <w:pPr>
        <w:spacing w:after="0" w:line="240" w:lineRule="auto"/>
      </w:pPr>
      <w:r>
        <w:separator/>
      </w:r>
    </w:p>
  </w:footnote>
  <w:footnote w:type="continuationSeparator" w:id="0">
    <w:p w:rsidR="00D27A55" w:rsidRDefault="00D27A55" w:rsidP="00BF3D99">
      <w:pPr>
        <w:spacing w:after="0" w:line="240" w:lineRule="auto"/>
      </w:pPr>
      <w:r>
        <w:continuationSeparator/>
      </w:r>
    </w:p>
  </w:footnote>
  <w:footnote w:id="1">
    <w:p w:rsidR="00390603" w:rsidRPr="00541A77" w:rsidRDefault="00390603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3888" w:rsidRPr="00EB00B9" w:rsidRDefault="00543888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43888" w:rsidRPr="002D0BF6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3888" w:rsidRPr="002D0BF6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3888" w:rsidRPr="002D0BF6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3888" w:rsidRPr="002D0BF6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3888" w:rsidRPr="00C868EC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3888" w:rsidRPr="00871366" w:rsidRDefault="00543888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43888" w:rsidRPr="002D0BF6" w:rsidRDefault="00543888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499C"/>
    <w:rsid w:val="00095422"/>
    <w:rsid w:val="000A57EB"/>
    <w:rsid w:val="0012108B"/>
    <w:rsid w:val="001347D2"/>
    <w:rsid w:val="00147D50"/>
    <w:rsid w:val="00153A55"/>
    <w:rsid w:val="00164F67"/>
    <w:rsid w:val="00165D77"/>
    <w:rsid w:val="001757E6"/>
    <w:rsid w:val="00191E5B"/>
    <w:rsid w:val="001C65A8"/>
    <w:rsid w:val="00210F8B"/>
    <w:rsid w:val="00215E8D"/>
    <w:rsid w:val="00233B94"/>
    <w:rsid w:val="002626E8"/>
    <w:rsid w:val="00273F8B"/>
    <w:rsid w:val="0028240C"/>
    <w:rsid w:val="002A51C8"/>
    <w:rsid w:val="002C6628"/>
    <w:rsid w:val="002C6FFE"/>
    <w:rsid w:val="002F0D2D"/>
    <w:rsid w:val="002F3E8B"/>
    <w:rsid w:val="00340C73"/>
    <w:rsid w:val="00346138"/>
    <w:rsid w:val="0036392A"/>
    <w:rsid w:val="003842BE"/>
    <w:rsid w:val="00390603"/>
    <w:rsid w:val="003907D7"/>
    <w:rsid w:val="0039246D"/>
    <w:rsid w:val="00395AAF"/>
    <w:rsid w:val="003A74F2"/>
    <w:rsid w:val="003B317C"/>
    <w:rsid w:val="003B4DBC"/>
    <w:rsid w:val="003C6751"/>
    <w:rsid w:val="003D2B52"/>
    <w:rsid w:val="003E7C6E"/>
    <w:rsid w:val="003F3984"/>
    <w:rsid w:val="00402D6B"/>
    <w:rsid w:val="00403FD7"/>
    <w:rsid w:val="00432970"/>
    <w:rsid w:val="004A5D79"/>
    <w:rsid w:val="005175D7"/>
    <w:rsid w:val="00523A5D"/>
    <w:rsid w:val="00541EA3"/>
    <w:rsid w:val="00543888"/>
    <w:rsid w:val="00547459"/>
    <w:rsid w:val="005606E5"/>
    <w:rsid w:val="00584FD8"/>
    <w:rsid w:val="005D56B8"/>
    <w:rsid w:val="005F7161"/>
    <w:rsid w:val="00651A46"/>
    <w:rsid w:val="0066072F"/>
    <w:rsid w:val="0066593D"/>
    <w:rsid w:val="00696085"/>
    <w:rsid w:val="006D76B4"/>
    <w:rsid w:val="00736623"/>
    <w:rsid w:val="00754558"/>
    <w:rsid w:val="00772DA6"/>
    <w:rsid w:val="00780962"/>
    <w:rsid w:val="0079707E"/>
    <w:rsid w:val="007A0145"/>
    <w:rsid w:val="007A03FE"/>
    <w:rsid w:val="007B4E23"/>
    <w:rsid w:val="00827517"/>
    <w:rsid w:val="0083055F"/>
    <w:rsid w:val="00866F60"/>
    <w:rsid w:val="00871979"/>
    <w:rsid w:val="008802B6"/>
    <w:rsid w:val="008D5462"/>
    <w:rsid w:val="009144CF"/>
    <w:rsid w:val="0094270E"/>
    <w:rsid w:val="00942769"/>
    <w:rsid w:val="00945CF2"/>
    <w:rsid w:val="00972303"/>
    <w:rsid w:val="00993ACF"/>
    <w:rsid w:val="00A1141A"/>
    <w:rsid w:val="00A16316"/>
    <w:rsid w:val="00A702BD"/>
    <w:rsid w:val="00A7386A"/>
    <w:rsid w:val="00A8330C"/>
    <w:rsid w:val="00AA412D"/>
    <w:rsid w:val="00AD4693"/>
    <w:rsid w:val="00AF2620"/>
    <w:rsid w:val="00B14A6E"/>
    <w:rsid w:val="00B46A79"/>
    <w:rsid w:val="00B969CF"/>
    <w:rsid w:val="00BB02EF"/>
    <w:rsid w:val="00BB6862"/>
    <w:rsid w:val="00BB6FF3"/>
    <w:rsid w:val="00BC4B9E"/>
    <w:rsid w:val="00BD7285"/>
    <w:rsid w:val="00BF3D99"/>
    <w:rsid w:val="00C45646"/>
    <w:rsid w:val="00CA43BE"/>
    <w:rsid w:val="00CC1337"/>
    <w:rsid w:val="00CD4EC3"/>
    <w:rsid w:val="00D233A7"/>
    <w:rsid w:val="00D27A55"/>
    <w:rsid w:val="00D30834"/>
    <w:rsid w:val="00D31114"/>
    <w:rsid w:val="00D96797"/>
    <w:rsid w:val="00DC592A"/>
    <w:rsid w:val="00DF3CDC"/>
    <w:rsid w:val="00DF5BC7"/>
    <w:rsid w:val="00E23C3A"/>
    <w:rsid w:val="00E625F1"/>
    <w:rsid w:val="00E64F9A"/>
    <w:rsid w:val="00E95916"/>
    <w:rsid w:val="00E96A37"/>
    <w:rsid w:val="00EA7EF7"/>
    <w:rsid w:val="00EC2262"/>
    <w:rsid w:val="00F5074E"/>
    <w:rsid w:val="00F54469"/>
    <w:rsid w:val="00F64C7F"/>
    <w:rsid w:val="00F836FE"/>
    <w:rsid w:val="00F97DBB"/>
    <w:rsid w:val="00FC3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EA0C"/>
  <w15:docId w15:val="{4F2F63C2-CB59-4479-8550-15FF012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142A-2E6E-47A0-81BB-8BC17D91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76</cp:revision>
  <dcterms:created xsi:type="dcterms:W3CDTF">2017-06-07T12:29:00Z</dcterms:created>
  <dcterms:modified xsi:type="dcterms:W3CDTF">2019-04-30T13:27:00Z</dcterms:modified>
</cp:coreProperties>
</file>