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7" w:rsidRPr="00400FF2" w:rsidRDefault="00144477" w:rsidP="0014447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lang w:val="hy-AM"/>
        </w:rPr>
      </w:pPr>
      <w:r w:rsidRPr="00400FF2">
        <w:rPr>
          <w:rFonts w:ascii="GHEA Grapalat" w:hAnsi="GHEA Grapalat"/>
          <w:bCs/>
          <w:smallCaps w:val="0"/>
          <w:sz w:val="28"/>
          <w:szCs w:val="28"/>
          <w:lang w:val="hy-AM"/>
        </w:rPr>
        <w:t>Հայտերի ներկայացման հրավեր</w:t>
      </w:r>
      <w:r w:rsidRPr="00400FF2">
        <w:rPr>
          <w:rFonts w:ascii="GHEA Grapalat" w:hAnsi="GHEA Grapalat"/>
          <w:bCs/>
          <w:smallCaps w:val="0"/>
          <w:lang w:val="hy-AM"/>
        </w:rPr>
        <w:t xml:space="preserve"> </w:t>
      </w:r>
    </w:p>
    <w:p w:rsidR="00144477" w:rsidRPr="00400FF2" w:rsidRDefault="00144477" w:rsidP="00144477">
      <w:pPr>
        <w:suppressAutoHyphens/>
        <w:rPr>
          <w:rFonts w:ascii="GHEA Grapalat" w:hAnsi="GHEA Grapalat"/>
          <w:spacing w:val="-2"/>
          <w:lang w:val="hy-AM"/>
        </w:rPr>
      </w:pPr>
      <w:r w:rsidRPr="00400FF2" w:rsidDel="0012709F">
        <w:rPr>
          <w:rFonts w:ascii="GHEA Grapalat" w:hAnsi="GHEA Grapalat"/>
          <w:bCs/>
          <w:smallCaps/>
          <w:lang w:val="hy-AM"/>
        </w:rPr>
        <w:t xml:space="preserve"> </w:t>
      </w:r>
    </w:p>
    <w:p w:rsidR="00144477" w:rsidRPr="00400FF2" w:rsidRDefault="00144477" w:rsidP="00144477">
      <w:pPr>
        <w:pStyle w:val="ChapterNumber"/>
        <w:tabs>
          <w:tab w:val="clear" w:pos="-720"/>
        </w:tabs>
        <w:rPr>
          <w:rFonts w:ascii="GHEA Grapalat" w:hAnsi="GHEA Grapalat"/>
          <w:spacing w:val="-2"/>
          <w:lang w:val="hy-AM"/>
        </w:rPr>
      </w:pPr>
    </w:p>
    <w:p w:rsidR="00144477" w:rsidRPr="00400FF2" w:rsidRDefault="00144477" w:rsidP="00144477">
      <w:pPr>
        <w:suppressAutoHyphens/>
        <w:rPr>
          <w:rFonts w:ascii="GHEA Grapalat" w:hAnsi="GHEA Grapalat"/>
          <w:b/>
          <w:spacing w:val="-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Երկիրը՝ 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Հայաստանի Հանրապետություն</w:t>
      </w:r>
    </w:p>
    <w:p w:rsidR="00144477" w:rsidRPr="00400FF2" w:rsidRDefault="00144477" w:rsidP="00144477">
      <w:pPr>
        <w:suppressAutoHyphens/>
        <w:rPr>
          <w:rFonts w:ascii="GHEA Grapalat" w:hAnsi="GHEA Grapalat"/>
          <w:b/>
          <w:spacing w:val="-2"/>
          <w:lang w:val="hy-AM"/>
        </w:rPr>
      </w:pPr>
      <w:r w:rsidRPr="00400FF2">
        <w:rPr>
          <w:rFonts w:ascii="GHEA Grapalat" w:hAnsi="GHEA Grapalat" w:cs="Arial"/>
          <w:sz w:val="22"/>
          <w:szCs w:val="22"/>
          <w:lang w:val="hy-AM"/>
        </w:rPr>
        <w:t>Ծրագիրը՝</w:t>
      </w:r>
      <w:r w:rsidRPr="00400FF2">
        <w:rPr>
          <w:rFonts w:ascii="GHEA Grapalat" w:hAnsi="GHEA Grapalat"/>
          <w:bCs/>
          <w:smallCaps/>
          <w:sz w:val="22"/>
          <w:szCs w:val="22"/>
          <w:lang w:val="hy-AM"/>
        </w:rPr>
        <w:t xml:space="preserve"> </w:t>
      </w:r>
      <w:r w:rsidR="00B03096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Տեղական տնտեսության և ենթակառուցվածքների զարգացման ծրագիր /ՏՏԵԶ/</w:t>
      </w:r>
    </w:p>
    <w:p w:rsidR="00144477" w:rsidRPr="00400FF2" w:rsidRDefault="00144477" w:rsidP="00144477">
      <w:pPr>
        <w:pStyle w:val="BodyText"/>
        <w:rPr>
          <w:rFonts w:ascii="GHEA Grapalat" w:hAnsi="GHEA Grapalat"/>
          <w:lang w:val="hy-AM"/>
        </w:rPr>
      </w:pPr>
      <w:r w:rsidRPr="00400FF2">
        <w:rPr>
          <w:rFonts w:ascii="GHEA Grapalat" w:hAnsi="GHEA Grapalat"/>
          <w:sz w:val="22"/>
          <w:szCs w:val="22"/>
          <w:lang w:val="hy-AM"/>
        </w:rPr>
        <w:t>Վարկ No՝</w:t>
      </w:r>
      <w:r w:rsidRPr="00400FF2">
        <w:rPr>
          <w:rFonts w:ascii="GHEA Grapalat" w:hAnsi="GHEA Grapalat"/>
          <w:bCs/>
          <w:smallCaps/>
          <w:sz w:val="22"/>
          <w:szCs w:val="22"/>
          <w:lang w:val="hy-AM"/>
        </w:rPr>
        <w:t xml:space="preserve"> </w:t>
      </w:r>
      <w:r w:rsidR="005D6A67" w:rsidRPr="00400FF2">
        <w:rPr>
          <w:rFonts w:ascii="GHEA Grapalat" w:hAnsi="GHEA Grapalat"/>
          <w:b/>
          <w:color w:val="0033CC"/>
          <w:sz w:val="22"/>
          <w:szCs w:val="22"/>
          <w:lang w:val="hy-AM"/>
        </w:rPr>
        <w:t>P</w:t>
      </w:r>
      <w:r w:rsidR="00713495" w:rsidRPr="00400FF2">
        <w:rPr>
          <w:rFonts w:ascii="GHEA Grapalat" w:hAnsi="GHEA Grapalat"/>
          <w:b/>
          <w:color w:val="0033CC"/>
          <w:sz w:val="22"/>
          <w:szCs w:val="22"/>
          <w:lang w:val="hy-AM"/>
        </w:rPr>
        <w:t>150327</w:t>
      </w:r>
    </w:p>
    <w:p w:rsidR="00EE01E0" w:rsidRPr="00400FF2" w:rsidRDefault="00144477" w:rsidP="002B640A">
      <w:pPr>
        <w:jc w:val="both"/>
        <w:rPr>
          <w:rFonts w:ascii="GHEA Grapalat" w:hAnsi="GHEA Grapalat" w:cs="Arial"/>
          <w:b/>
          <w:color w:val="0033CC"/>
          <w:sz w:val="32"/>
          <w:szCs w:val="32"/>
          <w:lang w:val="hy-AM"/>
        </w:rPr>
      </w:pPr>
      <w:r w:rsidRPr="00400FF2">
        <w:rPr>
          <w:rFonts w:ascii="GHEA Grapalat" w:hAnsi="GHEA Grapalat"/>
          <w:sz w:val="22"/>
          <w:szCs w:val="22"/>
          <w:lang w:val="hy-AM"/>
        </w:rPr>
        <w:t>Պայմանագրի անվանումը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՝</w:t>
      </w:r>
      <w:r w:rsidRPr="00400FF2">
        <w:rPr>
          <w:rFonts w:ascii="GHEA Grapalat" w:hAnsi="GHEA Grapalat" w:cs="Arial"/>
          <w:b/>
          <w:iCs/>
          <w:sz w:val="22"/>
          <w:szCs w:val="22"/>
          <w:lang w:val="hy-AM"/>
        </w:rPr>
        <w:t xml:space="preserve">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ՀՀ Կոտայքի մարզի Գառնի գյուղի "ՋիԲիԷյջ" ՍՊԸ-ի հյուրանոցա-ռեստորանային համալիրը սպասարկող արտաքին ինժեներական ենթակառուցվածքների կառուցում</w:t>
      </w:r>
      <w:r w:rsidR="00EE01E0" w:rsidRPr="00400FF2">
        <w:rPr>
          <w:rFonts w:ascii="GHEA Grapalat" w:hAnsi="GHEA Grapalat" w:cs="Arial"/>
          <w:b/>
          <w:color w:val="0033CC"/>
          <w:sz w:val="32"/>
          <w:szCs w:val="32"/>
          <w:lang w:val="hy-AM"/>
        </w:rPr>
        <w:t xml:space="preserve"> </w:t>
      </w:r>
    </w:p>
    <w:p w:rsidR="00144477" w:rsidRPr="00400FF2" w:rsidRDefault="00144477" w:rsidP="00144477">
      <w:pPr>
        <w:suppressAutoHyphens/>
        <w:rPr>
          <w:rFonts w:ascii="GHEA Grapalat" w:hAnsi="GHEA Grapalat"/>
          <w:spacing w:val="-2"/>
          <w:lang w:val="hy-AM"/>
        </w:rPr>
      </w:pPr>
      <w:r w:rsidRPr="00400FF2">
        <w:rPr>
          <w:rFonts w:ascii="GHEA Grapalat" w:hAnsi="GHEA Grapalat"/>
          <w:sz w:val="22"/>
          <w:szCs w:val="22"/>
          <w:lang w:val="hy-AM"/>
        </w:rPr>
        <w:t>Պայմանագիր No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՝</w:t>
      </w:r>
      <w:r w:rsidRPr="00400FF2">
        <w:rPr>
          <w:rFonts w:ascii="GHEA Grapalat" w:hAnsi="GHEA Grapalat"/>
          <w:sz w:val="22"/>
          <w:szCs w:val="22"/>
          <w:lang w:val="fr-FR"/>
        </w:rPr>
        <w:t xml:space="preserve"> </w:t>
      </w:r>
      <w:r w:rsidR="00CC1565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TUR-</w:t>
      </w:r>
      <w:r w:rsidR="00477F3E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PPI-0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3</w:t>
      </w:r>
    </w:p>
    <w:p w:rsidR="00144477" w:rsidRPr="00400FF2" w:rsidRDefault="002B640A" w:rsidP="00144477">
      <w:pPr>
        <w:suppressAutoHyphens/>
        <w:rPr>
          <w:rFonts w:ascii="GHEA Grapalat" w:hAnsi="GHEA Grapalat" w:cs="Arial"/>
          <w:b/>
          <w:color w:val="0033CC"/>
          <w:sz w:val="22"/>
          <w:szCs w:val="22"/>
          <w:lang w:val="hy-AM"/>
        </w:rPr>
      </w:pP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15</w:t>
      </w:r>
      <w:r w:rsidR="004F79E9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մայիս 2024</w:t>
      </w:r>
      <w:r w:rsidR="00144477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թ.</w:t>
      </w:r>
    </w:p>
    <w:p w:rsidR="00144477" w:rsidRPr="00400FF2" w:rsidRDefault="00144477" w:rsidP="00144477">
      <w:pPr>
        <w:suppressAutoHyphens/>
        <w:rPr>
          <w:rFonts w:ascii="GHEA Grapalat" w:hAnsi="GHEA Grapalat"/>
          <w:spacing w:val="-2"/>
          <w:lang w:val="hy-AM"/>
        </w:rPr>
      </w:pPr>
    </w:p>
    <w:p w:rsidR="00144477" w:rsidRPr="00400FF2" w:rsidRDefault="00144477" w:rsidP="000821F7">
      <w:pPr>
        <w:suppressAutoHyphens/>
        <w:jc w:val="both"/>
        <w:rPr>
          <w:rFonts w:ascii="GHEA Grapalat" w:hAnsi="GHEA Grapalat"/>
          <w:spacing w:val="-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>1.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z w:val="22"/>
          <w:szCs w:val="22"/>
          <w:lang w:val="hy-AM"/>
        </w:rPr>
        <w:t xml:space="preserve">Հայաստանի Հանրապետությունը 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Համաշխարհային բանկից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ստացել է ֆինանսավորում </w:t>
      </w:r>
      <w:r w:rsidR="00B03096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Տեղական տնտեսության և ենթակառուցվածքների զարգացման 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ծրագրի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համար և մտադիր է միջոցների մի մասն օգտագործել </w:t>
      </w:r>
      <w:r w:rsidR="002B640A" w:rsidRPr="00400FF2">
        <w:rPr>
          <w:rFonts w:ascii="GHEA Grapalat" w:hAnsi="GHEA Grapalat"/>
          <w:sz w:val="22"/>
          <w:szCs w:val="22"/>
          <w:lang w:val="hy-AM"/>
        </w:rPr>
        <w:t>«</w:t>
      </w:r>
      <w:r w:rsidR="00441378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TUR-</w:t>
      </w:r>
      <w:r w:rsidR="00477F3E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PPI-0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3</w:t>
      </w:r>
      <w:r w:rsidR="002B640A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</w:t>
      </w:r>
      <w:r w:rsidR="007073DF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ՀՀ Կոտայքի մարզի Գառնի գյուղի "ՋիԲիԷյջ" ՍՊԸ-ի հյուրանոցա-ռեստորանային համալիրը սպասարկող արտաքին ինժեներական ենթակառուցվածքների կառուցում</w:t>
      </w:r>
      <w:r w:rsidR="00B03096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» </w:t>
      </w:r>
      <w:r w:rsidRPr="00400FF2">
        <w:rPr>
          <w:rFonts w:ascii="GHEA Grapalat" w:hAnsi="GHEA Grapalat"/>
          <w:sz w:val="22"/>
          <w:szCs w:val="22"/>
          <w:lang w:val="hy-AM"/>
        </w:rPr>
        <w:t>պայմանագրի շրջանակներում վճարումներ իրականացնելու համար:</w:t>
      </w:r>
    </w:p>
    <w:p w:rsidR="00144477" w:rsidRPr="00400FF2" w:rsidRDefault="00144477" w:rsidP="0014447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 xml:space="preserve">2. 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z w:val="22"/>
          <w:szCs w:val="22"/>
          <w:lang w:val="hy-AM"/>
        </w:rPr>
        <w:t xml:space="preserve">Սույնով 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Հայաստանի տարածքային զարգացման հիմնադրամը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հրավիրում է ներկայացնել կնքված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մրցութային հայտեր 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իրավասու մասնակիցներից` </w:t>
      </w:r>
      <w:r w:rsidR="00EE01E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TUR-</w:t>
      </w:r>
      <w:r w:rsidR="00761A6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PPI-0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3</w:t>
      </w:r>
      <w:r w:rsidR="00EE01E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</w:t>
      </w:r>
      <w:r w:rsidR="00BA674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«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ՀՀ Կոտայքի մարզի Գառնի գյուղի "ՋիԲիԷյջ" ՍՊԸ-ի հյուրանոցա-ռեստորանային համալիրը սպասարկող արտաքին ինժեներական ենթակառուցվածքների կառուցում</w:t>
      </w:r>
      <w:r w:rsidR="00BA674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»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շինարարական աշխատանքների համար:</w:t>
      </w:r>
    </w:p>
    <w:p w:rsidR="00BE1DA9" w:rsidRPr="00400FF2" w:rsidRDefault="00144477" w:rsidP="00144477">
      <w:pPr>
        <w:tabs>
          <w:tab w:val="left" w:pos="556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400FF2">
        <w:rPr>
          <w:rFonts w:ascii="GHEA Grapalat" w:hAnsi="GHEA Grapalat"/>
          <w:sz w:val="22"/>
          <w:szCs w:val="22"/>
          <w:lang w:val="hy-AM"/>
        </w:rPr>
        <w:t>Աշխատանքները ներառում են</w:t>
      </w:r>
      <w:r w:rsidR="00237976" w:rsidRPr="00400FF2">
        <w:rPr>
          <w:rFonts w:ascii="GHEA Grapalat" w:hAnsi="GHEA Grapalat"/>
          <w:sz w:val="22"/>
          <w:szCs w:val="22"/>
          <w:lang w:val="hy-AM"/>
        </w:rPr>
        <w:t>՝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B640A" w:rsidRPr="00400FF2" w:rsidRDefault="002B640A" w:rsidP="002B640A">
      <w:pPr>
        <w:ind w:left="360"/>
        <w:contextualSpacing/>
        <w:jc w:val="both"/>
        <w:rPr>
          <w:rFonts w:ascii="GHEA Grapalat" w:hAnsi="GHEA Grapalat"/>
          <w:iCs/>
          <w:lang w:val="hy-AM"/>
        </w:rPr>
      </w:pPr>
      <w:r w:rsidRPr="00400FF2">
        <w:rPr>
          <w:rFonts w:ascii="GHEA Grapalat" w:hAnsi="GHEA Grapalat"/>
          <w:iCs/>
          <w:lang w:val="hy-AM"/>
        </w:rPr>
        <w:t>Ենթածրագրով նախատեսվում է իրականացնել հետևյալ աշխատանքները.</w:t>
      </w:r>
    </w:p>
    <w:p w:rsidR="00400FF2" w:rsidRPr="00400FF2" w:rsidRDefault="00400FF2" w:rsidP="00400FF2">
      <w:pPr>
        <w:pStyle w:val="ListParagraph"/>
        <w:numPr>
          <w:ilvl w:val="0"/>
          <w:numId w:val="4"/>
        </w:numPr>
        <w:jc w:val="both"/>
        <w:rPr>
          <w:rFonts w:ascii="GHEA Grapalat" w:hAnsi="GHEA Grapalat" w:cstheme="minorHAnsi"/>
          <w:bCs/>
          <w:u w:val="single"/>
          <w:lang w:val="hy-AM"/>
        </w:rPr>
      </w:pPr>
      <w:r w:rsidRPr="00400FF2">
        <w:rPr>
          <w:rFonts w:ascii="GHEA Grapalat" w:hAnsi="GHEA Grapalat" w:cstheme="minorHAnsi"/>
          <w:bCs/>
          <w:u w:val="single"/>
          <w:lang w:val="hy-AM"/>
        </w:rPr>
        <w:t>Մոտեցնող ճանապարհ No.1-ի վերակառուցում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theme="minorHAnsi"/>
          <w:bCs/>
          <w:lang w:val="hy-AM"/>
        </w:rPr>
      </w:pPr>
      <w:r w:rsidRPr="00400FF2">
        <w:rPr>
          <w:rFonts w:ascii="GHEA Grapalat" w:hAnsi="GHEA Grapalat" w:cstheme="minorHAnsi"/>
          <w:bCs/>
          <w:lang w:val="hy-AM"/>
        </w:rPr>
        <w:t xml:space="preserve">Հ3, </w:t>
      </w:r>
      <w:hyperlink r:id="rId8" w:tooltip="Երևան" w:history="1">
        <w:r w:rsidRPr="00400FF2">
          <w:rPr>
            <w:rFonts w:ascii="GHEA Grapalat" w:hAnsi="GHEA Grapalat" w:cstheme="minorHAnsi"/>
            <w:bCs/>
            <w:lang w:val="hy-AM"/>
          </w:rPr>
          <w:t>Երևան</w:t>
        </w:r>
      </w:hyperlink>
      <w:r w:rsidRPr="00400FF2">
        <w:rPr>
          <w:rFonts w:ascii="GHEA Grapalat" w:hAnsi="GHEA Grapalat" w:cstheme="minorHAnsi"/>
          <w:bCs/>
          <w:lang w:val="hy-AM"/>
        </w:rPr>
        <w:t xml:space="preserve"> - </w:t>
      </w:r>
      <w:hyperlink r:id="rId9" w:tooltip="Գառնի (գյուղ)" w:history="1">
        <w:r w:rsidRPr="00400FF2">
          <w:rPr>
            <w:rFonts w:ascii="GHEA Grapalat" w:hAnsi="GHEA Grapalat" w:cstheme="minorHAnsi"/>
            <w:bCs/>
            <w:lang w:val="hy-AM"/>
          </w:rPr>
          <w:t>Գառնի</w:t>
        </w:r>
      </w:hyperlink>
      <w:r w:rsidRPr="00400FF2">
        <w:rPr>
          <w:rFonts w:ascii="GHEA Grapalat" w:hAnsi="GHEA Grapalat" w:cstheme="minorHAnsi"/>
          <w:bCs/>
          <w:lang w:val="hy-AM"/>
        </w:rPr>
        <w:t xml:space="preserve"> ավտոմայրուղուց դեպի hյուրանոցա-ռեստորանային համալիրի գլխավոր մուտքին մոտեցնող ճանապարհը, որի ընդհանուր երկարությունը կազմում է մոտ 846 մ անցնում է Կոմիտաս (≈331 մ), Բաղրամյան (≈324 մ) և Գ. Զոհրապ (≈191 մ) փողոցների հատվածներով։ Մոտեցնող ճանապարհ No.1-ի </w:t>
      </w:r>
      <w:r w:rsidRPr="00400FF2">
        <w:rPr>
          <w:rFonts w:ascii="GHEA Grapalat" w:hAnsi="GHEA Grapalat"/>
          <w:lang w:val="hy-AM"/>
        </w:rPr>
        <w:t>երթևեկելի մասի</w:t>
      </w:r>
      <w:r w:rsidRPr="00400FF2">
        <w:rPr>
          <w:rFonts w:ascii="GHEA Grapalat" w:hAnsi="GHEA Grapalat" w:cstheme="minorHAnsi"/>
          <w:bCs/>
          <w:lang w:val="hy-AM"/>
        </w:rPr>
        <w:t xml:space="preserve"> ընդհանուր մակերեսը կազմում է 5,743 քմ, որից ասֆալտե ծածկույթով ճանապարհի մակերեսը կազմում է 5,127 քմ (երկարությունը՝ 706 մ), իսկ բազալտե չորսվակասալերով սալարկված ճանապարհի մակերեսը՝ 616 քմ (երկարությունը՝ 140 մ)։ Մոտեցնող ճանապարհ No.1-ի վերակառուցումը ներառում է վերոնշյալ փողոցների </w:t>
      </w:r>
      <w:r w:rsidRPr="00400FF2">
        <w:rPr>
          <w:rFonts w:ascii="GHEA Grapalat" w:hAnsi="GHEA Grapalat"/>
          <w:lang w:val="hy-AM"/>
        </w:rPr>
        <w:t xml:space="preserve">երթևեկելի մասի և </w:t>
      </w:r>
      <w:r w:rsidRPr="00400FF2">
        <w:rPr>
          <w:rFonts w:ascii="GHEA Grapalat" w:hAnsi="GHEA Grapalat" w:cstheme="minorHAnsi"/>
          <w:bCs/>
          <w:lang w:val="hy-AM"/>
        </w:rPr>
        <w:t>մայթերի ասֆալտե ծածկույթի վերականգնումը, բազալտե եզրաքարի և փողոցների եզրով տեղադրված ոռոգման ջրի և դրենաժային առուների երկաթբետոնե վաքերի փոխարինումը։</w:t>
      </w:r>
    </w:p>
    <w:p w:rsidR="00400FF2" w:rsidRPr="00400FF2" w:rsidRDefault="00400FF2" w:rsidP="00400FF2">
      <w:pPr>
        <w:pStyle w:val="ListParagraph"/>
        <w:ind w:left="360"/>
        <w:jc w:val="both"/>
        <w:rPr>
          <w:rFonts w:ascii="GHEA Grapalat" w:hAnsi="GHEA Grapalat" w:cstheme="minorHAnsi"/>
          <w:bCs/>
          <w:lang w:val="hy-AM"/>
        </w:rPr>
      </w:pPr>
    </w:p>
    <w:p w:rsidR="00400FF2" w:rsidRPr="00400FF2" w:rsidRDefault="00400FF2" w:rsidP="00400FF2">
      <w:pPr>
        <w:pStyle w:val="ListParagraph"/>
        <w:numPr>
          <w:ilvl w:val="0"/>
          <w:numId w:val="4"/>
        </w:numPr>
        <w:jc w:val="both"/>
        <w:rPr>
          <w:rFonts w:ascii="GHEA Grapalat" w:hAnsi="GHEA Grapalat" w:cstheme="minorHAnsi"/>
          <w:bCs/>
          <w:lang w:val="hy-AM"/>
        </w:rPr>
      </w:pPr>
      <w:r w:rsidRPr="00400FF2">
        <w:rPr>
          <w:rFonts w:ascii="GHEA Grapalat" w:hAnsi="GHEA Grapalat" w:cstheme="minorHAnsi"/>
          <w:bCs/>
          <w:u w:val="single"/>
          <w:lang w:val="hy-AM"/>
        </w:rPr>
        <w:t>Մոտեցնող ճանապարհ No.2 վերակառուցում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theme="minorHAnsi"/>
          <w:bCs/>
          <w:lang w:val="hy-AM"/>
        </w:rPr>
      </w:pPr>
      <w:r w:rsidRPr="00400FF2">
        <w:rPr>
          <w:rFonts w:ascii="GHEA Grapalat" w:hAnsi="GHEA Grapalat" w:cstheme="minorHAnsi"/>
          <w:bCs/>
          <w:lang w:val="hy-AM"/>
        </w:rPr>
        <w:t>Գառնու հեթանոսական տաճարից, այն է՝ Մարզպետունի և Գ. Զոհրապ փողոցների հատման կետից դեպի hյուրանոցա-ռեստորանային համալիրի գլխավոր մուտքին մոտեցնող ասֆալտե ծածկույթով ճանապարհը անցնում է Գ. Զոհրապ փողոցի հատվածով։ Մոտեցնող ճանապարհ No.2-ի երթևեկելի մասի ընդհանուր երկարությունը կազմում է մոտ 220 մ, իսկ մակերեսը մոտ՝ 1,162 քմ։ Մոտեցնող ճանապարհ No.2-ի վերակառուցումը ներառում է վերոնշյալ փողոցի երթևեկելի մասի ասֆալտե ծածկույթի վերականգնումը և բազալտե եզրաքարի փոխարինումը։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theme="minorHAnsi"/>
          <w:bCs/>
          <w:lang w:val="hy-AM"/>
        </w:rPr>
      </w:pP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theme="minorHAnsi"/>
          <w:bCs/>
          <w:lang w:val="hy-AM"/>
        </w:rPr>
      </w:pPr>
      <w:r w:rsidRPr="00400FF2">
        <w:rPr>
          <w:rFonts w:ascii="GHEA Grapalat" w:hAnsi="GHEA Grapalat" w:cstheme="minorHAnsi"/>
          <w:bCs/>
          <w:lang w:val="hy-AM"/>
        </w:rPr>
        <w:lastRenderedPageBreak/>
        <w:t xml:space="preserve">Այսպիսով, վերակառուցման ենթակա ա. մոտեցնող ճանապարհների </w:t>
      </w:r>
      <w:r w:rsidRPr="00400FF2">
        <w:rPr>
          <w:rFonts w:ascii="GHEA Grapalat" w:hAnsi="GHEA Grapalat"/>
          <w:lang w:val="hy-AM"/>
        </w:rPr>
        <w:t>երթևեկելի մասի</w:t>
      </w:r>
      <w:r w:rsidRPr="00400FF2">
        <w:rPr>
          <w:rFonts w:ascii="GHEA Grapalat" w:hAnsi="GHEA Grapalat" w:cstheme="minorHAnsi"/>
          <w:bCs/>
          <w:lang w:val="hy-AM"/>
        </w:rPr>
        <w:t xml:space="preserve"> ընդհանուր երկարությունը կազմում է մոտ 1,066 մ (846 մ + 220 մ), իսկ մակերեսը մոտ 6,905 քմ (5,743 քմ + 1,162 քմ) և բ. մոտեցնող ճանապարհների մայթերի ընդհանուր երկարությունը կազմում է մոտ 655 մ (331 մ + 324 մ), իսկ մակերեսը մոտ 1,682 քմ (529 քմ + 1,153 քմ)։ Նշում՝ հաշվի առնելով, որ Գ. Զոհրապ փողոցի լայնությունը կազմում է մոտ 4.4 մ, որը տվայլ տեսակի ճանապարհների համար նորմերով պահանջվող մինիմալ լայնությունն է, մայթի իրականացում տվյալ փողոցում հաստատված աշխատանքային նախագծով չի նախատեսված։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theme="minorHAnsi"/>
          <w:bCs/>
          <w:lang w:val="hy-AM"/>
        </w:rPr>
      </w:pPr>
    </w:p>
    <w:p w:rsidR="00400FF2" w:rsidRPr="00400FF2" w:rsidRDefault="00400FF2" w:rsidP="00400FF2">
      <w:pPr>
        <w:pStyle w:val="ListParagraph"/>
        <w:numPr>
          <w:ilvl w:val="0"/>
          <w:numId w:val="4"/>
        </w:numPr>
        <w:jc w:val="both"/>
        <w:rPr>
          <w:rFonts w:ascii="GHEA Grapalat" w:hAnsi="GHEA Grapalat" w:cstheme="minorHAnsi"/>
          <w:bCs/>
          <w:u w:val="single"/>
          <w:lang w:val="hy-AM"/>
        </w:rPr>
      </w:pPr>
      <w:r w:rsidRPr="00400FF2">
        <w:rPr>
          <w:rFonts w:ascii="GHEA Grapalat" w:hAnsi="GHEA Grapalat" w:cstheme="minorHAnsi"/>
          <w:bCs/>
          <w:u w:val="single"/>
          <w:lang w:val="hy-AM"/>
        </w:rPr>
        <w:t xml:space="preserve">Կեղտաջրերի հեռացման համակարգի կառուցում  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400FF2">
        <w:rPr>
          <w:rFonts w:ascii="GHEA Grapalat" w:hAnsi="GHEA Grapalat" w:cstheme="minorHAnsi"/>
          <w:bCs/>
          <w:lang w:val="hy-AM"/>
        </w:rPr>
        <w:t>Հյուրանոցա-ռեստորանային համալիրի կեղտաջրերի հեռացումը կազմակերպելու համար նախատեսվում է կառուցել 481 մ երկարությամբ 250 մմ նոմինալ տրամագծով կոյուղու պոլիէթիլենային ծալքավոր խողովակներից ստորգետնյա կոյուղագիծ, որը միացվելու է Բաղրամյան և Կոմիտաս փողոցների խաչմերուկին մոտ գտնվող 500 մմ նոմինալ տրամագծով ասբոցեմենտե կոյուղատարին։ Կառուցվող կոյուղագծի երկայնքով՝ նախագծով նախատեսված տեղերում տեղադրվելու են 22 հատ 1000 մմ տրամագծով ե/բ դիտահոր։ Կոյուղագծի վերջնակետում տեղադրվող դիտահորը կառուցվելու է հյուրանոցա-ռեստորանային համալիրի գլխավոր մուտքի մոտ՝ համայնքապատկան տարածքում։ Հարկ է նշել, որ նոր կառուցվող կոյուղագծի Բաղրամյան փողոցով անցնող հատվածի դիտահորերին կմիացվեն նաև 44 հատ գոյություն ունեցող տնային միացումների 150 մմ նոմինալ տրամագծով խողովակներ։</w:t>
      </w:r>
    </w:p>
    <w:p w:rsidR="00400FF2" w:rsidRPr="00400FF2" w:rsidRDefault="00400FF2" w:rsidP="00400FF2">
      <w:pPr>
        <w:spacing w:before="60"/>
        <w:jc w:val="both"/>
        <w:rPr>
          <w:rFonts w:ascii="GHEA Grapalat" w:hAnsi="GHEA Grapalat" w:cs="Sylfaen"/>
          <w:lang w:val="hy-AM"/>
        </w:rPr>
      </w:pPr>
    </w:p>
    <w:p w:rsidR="00400FF2" w:rsidRPr="00400FF2" w:rsidRDefault="00400FF2" w:rsidP="00400FF2">
      <w:pPr>
        <w:pStyle w:val="ListParagraph"/>
        <w:numPr>
          <w:ilvl w:val="0"/>
          <w:numId w:val="4"/>
        </w:numPr>
        <w:jc w:val="both"/>
        <w:rPr>
          <w:rFonts w:ascii="GHEA Grapalat" w:hAnsi="GHEA Grapalat" w:cstheme="minorHAnsi"/>
          <w:bCs/>
          <w:u w:val="single"/>
          <w:lang w:val="hy-AM"/>
        </w:rPr>
      </w:pPr>
      <w:r w:rsidRPr="00400FF2">
        <w:rPr>
          <w:rFonts w:ascii="GHEA Grapalat" w:hAnsi="GHEA Grapalat" w:cstheme="minorHAnsi"/>
          <w:bCs/>
          <w:u w:val="single"/>
          <w:lang w:val="hy-AM"/>
        </w:rPr>
        <w:t>Էլեկտրամատակարարման համակարգի կառուցում</w:t>
      </w:r>
    </w:p>
    <w:p w:rsidR="00400FF2" w:rsidRPr="00400FF2" w:rsidRDefault="00400FF2" w:rsidP="00400FF2">
      <w:pPr>
        <w:pStyle w:val="ListParagraph"/>
        <w:spacing w:before="60"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400FF2">
        <w:rPr>
          <w:rFonts w:ascii="GHEA Grapalat" w:hAnsi="GHEA Grapalat" w:cstheme="minorHAnsi"/>
          <w:bCs/>
          <w:lang w:val="hy-AM"/>
        </w:rPr>
        <w:t xml:space="preserve">Հյուրանոցա-ռեստորանային համալիրի 0.4 կՎ, 280 կՎտ հզորությամբ Էլեկտրամատակարարումը ապահովելու համար նախատեսվում է տեղադրել 120 գծմ երկարությամբ ստորգետնյա մալուխագիծ: </w:t>
      </w:r>
      <w:r w:rsidRPr="00400FF2">
        <w:rPr>
          <w:rFonts w:ascii="GHEA Grapalat" w:hAnsi="GHEA Grapalat"/>
          <w:lang w:val="hy-AM"/>
        </w:rPr>
        <w:t>Մասնավորապես՝ հաստատված աշխատանքային նախագծով նախատեսված է տեղադրել 4x240 մմ</w:t>
      </w:r>
      <w:r w:rsidRPr="00400FF2">
        <w:rPr>
          <w:rFonts w:ascii="GHEA Grapalat" w:hAnsi="GHEA Grapalat"/>
          <w:vertAlign w:val="superscript"/>
          <w:lang w:val="hy-AM"/>
        </w:rPr>
        <w:t>2</w:t>
      </w:r>
      <w:r w:rsidRPr="00400FF2">
        <w:rPr>
          <w:rFonts w:ascii="GHEA Grapalat" w:hAnsi="GHEA Grapalat"/>
          <w:lang w:val="hy-AM"/>
        </w:rPr>
        <w:t xml:space="preserve"> հատույթով, АВВГ-1000 տեսականիշի մեկուսացված ալյումինե մալուխագիծ (240 գծմ = 2x120 գծմ), ներառյալ DN100 մմ PVC ճկվող էլեկտրական պաշտպանիչ խողովակը։</w:t>
      </w:r>
    </w:p>
    <w:p w:rsidR="002B640A" w:rsidRPr="00400FF2" w:rsidRDefault="002B640A" w:rsidP="002B640A">
      <w:pPr>
        <w:tabs>
          <w:tab w:val="left" w:pos="556"/>
        </w:tabs>
        <w:jc w:val="both"/>
        <w:rPr>
          <w:rFonts w:ascii="GHEA Grapalat" w:hAnsi="GHEA Grapalat" w:cs="Arial"/>
          <w:color w:val="0033CC"/>
          <w:sz w:val="22"/>
          <w:szCs w:val="22"/>
          <w:lang w:val="hy-AM"/>
        </w:rPr>
      </w:pPr>
    </w:p>
    <w:p w:rsidR="00144477" w:rsidRPr="00400FF2" w:rsidRDefault="00144477" w:rsidP="007073DF">
      <w:pPr>
        <w:tabs>
          <w:tab w:val="left" w:pos="556"/>
        </w:tabs>
        <w:jc w:val="both"/>
        <w:rPr>
          <w:rFonts w:ascii="GHEA Grapalat" w:hAnsi="GHEA Grapalat" w:cs="Sylfaen"/>
          <w:b/>
          <w:color w:val="FF0000"/>
          <w:sz w:val="22"/>
          <w:lang w:val="hy-AM"/>
        </w:rPr>
      </w:pPr>
      <w:r w:rsidRPr="00400FF2">
        <w:rPr>
          <w:rFonts w:ascii="GHEA Grapalat" w:hAnsi="GHEA Grapalat" w:cs="Sylfaen"/>
          <w:sz w:val="22"/>
          <w:lang w:val="hy-AM"/>
        </w:rPr>
        <w:t xml:space="preserve">Բոլոր աշխատանքների նախատեսված ավարտման ժամկետ՝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120</w:t>
      </w:r>
      <w:r w:rsidR="005962A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օր 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սկսած Աշխատանքների մեկնարկից:</w:t>
      </w:r>
    </w:p>
    <w:p w:rsidR="00144477" w:rsidRPr="00400FF2" w:rsidRDefault="00144477" w:rsidP="00144477">
      <w:pPr>
        <w:tabs>
          <w:tab w:val="left" w:pos="556"/>
        </w:tabs>
        <w:ind w:right="2"/>
        <w:jc w:val="both"/>
        <w:rPr>
          <w:rFonts w:ascii="GHEA Grapalat" w:hAnsi="GHEA Grapalat"/>
          <w:b/>
          <w:spacing w:val="-2"/>
          <w:sz w:val="22"/>
          <w:szCs w:val="22"/>
          <w:u w:val="single"/>
          <w:lang w:val="hy-AM"/>
        </w:rPr>
      </w:pPr>
      <w:r w:rsidRPr="00400FF2">
        <w:rPr>
          <w:rFonts w:ascii="GHEA Grapalat" w:hAnsi="GHEA Grapalat"/>
          <w:b/>
          <w:spacing w:val="-2"/>
          <w:sz w:val="22"/>
          <w:szCs w:val="22"/>
          <w:u w:val="single"/>
          <w:lang w:val="hy-AM"/>
        </w:rPr>
        <w:t>Որակավորման չափանիշներն են (որոնք չեն սահմանափակվում</w:t>
      </w:r>
      <w:r w:rsidRPr="00400FF2">
        <w:rPr>
          <w:rFonts w:ascii="GHEA Grapalat" w:hAnsi="GHEA Grapalat"/>
          <w:b/>
          <w:spacing w:val="-2"/>
          <w:u w:val="single"/>
          <w:lang w:val="hy-AM"/>
        </w:rPr>
        <w:t>*</w:t>
      </w:r>
      <w:r w:rsidRPr="00400FF2">
        <w:rPr>
          <w:rFonts w:ascii="GHEA Grapalat" w:hAnsi="GHEA Grapalat"/>
          <w:b/>
          <w:spacing w:val="-2"/>
          <w:sz w:val="22"/>
          <w:szCs w:val="22"/>
          <w:u w:val="single"/>
          <w:lang w:val="hy-AM"/>
        </w:rPr>
        <w:t>)</w:t>
      </w:r>
    </w:p>
    <w:p w:rsidR="00144477" w:rsidRPr="00400FF2" w:rsidRDefault="00144477" w:rsidP="00144477">
      <w:pPr>
        <w:tabs>
          <w:tab w:val="left" w:pos="556"/>
        </w:tabs>
        <w:ind w:right="2"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ա/ վերջին երեք տարիներից որևէ մեկ տարում հաջողությամբ կատարված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664</w:t>
      </w:r>
      <w:r w:rsidR="00EE01E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,000,000</w:t>
      </w:r>
      <w:r w:rsidRPr="00400FF2">
        <w:rPr>
          <w:rFonts w:ascii="GHEA Grapalat" w:hAnsi="GHEA Grapalat" w:cs="Arial"/>
          <w:b/>
          <w:color w:val="FF0000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ՀՀ դրամի շին. աշխատանքների ծավալ,</w:t>
      </w:r>
    </w:p>
    <w:p w:rsidR="002D7C93" w:rsidRPr="00400FF2" w:rsidRDefault="00144477" w:rsidP="00144477">
      <w:pPr>
        <w:tabs>
          <w:tab w:val="left" w:pos="556"/>
        </w:tabs>
        <w:ind w:right="2"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բ/ վերջին հինգը տարվա ընթացքում որպես գլխավոր կապալառու, ՀԳ անդամ կամ ենթակապալառու կատ</w:t>
      </w:r>
      <w:r w:rsidR="00F71997" w:rsidRPr="00400FF2">
        <w:rPr>
          <w:rFonts w:ascii="GHEA Grapalat" w:hAnsi="GHEA Grapalat"/>
          <w:spacing w:val="-2"/>
          <w:sz w:val="22"/>
          <w:szCs w:val="22"/>
          <w:lang w:val="hy-AM"/>
        </w:rPr>
        <w:t>արած առնվազն երկու պայմանագրեր</w:t>
      </w:r>
      <w:r w:rsidR="00F71997" w:rsidRPr="00F51296">
        <w:rPr>
          <w:rFonts w:ascii="GHEA Grapalat" w:hAnsi="GHEA Grapalat"/>
          <w:spacing w:val="-2"/>
          <w:sz w:val="22"/>
          <w:szCs w:val="22"/>
          <w:lang w:val="hy-AM"/>
        </w:rPr>
        <w:t xml:space="preserve">` </w:t>
      </w:r>
      <w:r w:rsidR="007551EE" w:rsidRPr="00F51296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ասֆալտապատ ճանապարհների, կառուցման/վերակառուցման աշխատանքները</w:t>
      </w:r>
      <w:r w:rsidR="002D7C93" w:rsidRPr="00F51296">
        <w:rPr>
          <w:rFonts w:ascii="GHEA Grapalat" w:hAnsi="GHEA Grapalat" w:cs="Arial"/>
          <w:b/>
          <w:color w:val="0033CC"/>
          <w:sz w:val="22"/>
          <w:szCs w:val="22"/>
          <w:lang w:val="hy-AM"/>
        </w:rPr>
        <w:t>:</w:t>
      </w:r>
      <w:bookmarkStart w:id="0" w:name="_GoBack"/>
      <w:bookmarkEnd w:id="0"/>
    </w:p>
    <w:p w:rsidR="00144477" w:rsidRPr="00400FF2" w:rsidRDefault="00144477" w:rsidP="00144477">
      <w:pPr>
        <w:tabs>
          <w:tab w:val="left" w:pos="556"/>
        </w:tabs>
        <w:ind w:right="2"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Ներկայացվող աշխատանքի արժեքը չպետք է պակաս լինի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153</w:t>
      </w:r>
      <w:r w:rsidR="00C7551C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,000,000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ՀՀ դրամից, կամ մեկ պայմանագիր առնվազն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306</w:t>
      </w:r>
      <w:r w:rsidR="00C7551C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,000,000</w:t>
      </w:r>
      <w:r w:rsidR="00C7551C" w:rsidRPr="00400FF2">
        <w:rPr>
          <w:rFonts w:ascii="GHEA Grapalat" w:hAnsi="GHEA Grapalat" w:cs="Arial"/>
          <w:b/>
          <w:color w:val="0033CC"/>
          <w:sz w:val="18"/>
          <w:szCs w:val="18"/>
          <w:lang w:val="hy-AM"/>
        </w:rPr>
        <w:t xml:space="preserve"> </w:t>
      </w:r>
      <w:r w:rsidRPr="00400FF2">
        <w:rPr>
          <w:rFonts w:ascii="GHEA Grapalat" w:hAnsi="GHEA Grapalat"/>
          <w:color w:val="FF0000"/>
          <w:spacing w:val="-2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ՀՀ դրամ,</w:t>
      </w:r>
    </w:p>
    <w:p w:rsidR="00E6121E" w:rsidRPr="00400FF2" w:rsidRDefault="005D1119" w:rsidP="000E06B6">
      <w:pPr>
        <w:tabs>
          <w:tab w:val="left" w:pos="556"/>
        </w:tabs>
        <w:ind w:right="2"/>
        <w:jc w:val="both"/>
        <w:rPr>
          <w:rFonts w:ascii="GHEA Grapalat" w:hAnsi="GHEA Grapalat" w:cs="Arial"/>
          <w:b/>
          <w:color w:val="0033CC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գ</w:t>
      </w:r>
      <w:r w:rsidR="000E06B6" w:rsidRPr="00400FF2">
        <w:rPr>
          <w:rFonts w:ascii="GHEA Grapalat" w:hAnsi="GHEA Grapalat"/>
          <w:b/>
          <w:spacing w:val="-2"/>
          <w:sz w:val="22"/>
          <w:szCs w:val="22"/>
          <w:lang w:val="hy-AM"/>
        </w:rPr>
        <w:t>/</w:t>
      </w:r>
      <w:r w:rsidR="000E06B6" w:rsidRPr="00400FF2">
        <w:rPr>
          <w:rFonts w:ascii="GHEA Grapalat" w:hAnsi="GHEA Grapalat"/>
          <w:sz w:val="18"/>
          <w:szCs w:val="18"/>
          <w:lang w:val="hy-AM"/>
        </w:rPr>
        <w:t xml:space="preserve"> </w:t>
      </w:r>
      <w:r w:rsidR="000E06B6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շինարարական փորձը հետևյալ հաջող ավարտված հիմնական աշխատանքներում պետք է լինի՝ </w:t>
      </w:r>
      <w:r w:rsidR="00F51296" w:rsidRPr="00F51296">
        <w:rPr>
          <w:rFonts w:ascii="GHEA Grapalat" w:hAnsi="GHEA Grapalat" w:cs="Arial"/>
          <w:b/>
          <w:color w:val="0033CC"/>
          <w:sz w:val="22"/>
          <w:szCs w:val="22"/>
          <w:lang w:val="hy-AM"/>
        </w:rPr>
        <w:t>300 գծմ երկարությամբ արտաքին ջրամատակարարման և ջրահեռացման համակարգերի կառուցման և/կամ վերակառուցման  աշխատանքները (առնվազն երկու աշխատանք)</w:t>
      </w:r>
      <w:r w:rsidR="002B640A" w:rsidRPr="00F51296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</w:t>
      </w:r>
    </w:p>
    <w:p w:rsidR="00144477" w:rsidRPr="00400FF2" w:rsidRDefault="006C65A1" w:rsidP="00144477">
      <w:pPr>
        <w:tabs>
          <w:tab w:val="left" w:pos="556"/>
        </w:tabs>
        <w:ind w:right="2"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դ</w:t>
      </w:r>
      <w:r w:rsidR="00144477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/ նվազագույնը </w:t>
      </w:r>
      <w:r w:rsidR="00E84803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109</w:t>
      </w:r>
      <w:r w:rsidR="00144477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,000,000</w:t>
      </w:r>
      <w:r w:rsidR="00144477" w:rsidRPr="00400FF2">
        <w:rPr>
          <w:rFonts w:ascii="GHEA Grapalat" w:hAnsi="GHEA Grapalat"/>
          <w:color w:val="FF0000"/>
          <w:spacing w:val="-2"/>
          <w:sz w:val="22"/>
          <w:szCs w:val="22"/>
          <w:lang w:val="hy-AM"/>
        </w:rPr>
        <w:t xml:space="preserve"> </w:t>
      </w:r>
      <w:r w:rsidR="00144477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ՀՀ դրամի իրացվելի միջոցներ և/կամ վարկային գիծ, </w:t>
      </w:r>
    </w:p>
    <w:p w:rsidR="00237976" w:rsidRPr="00400FF2" w:rsidRDefault="006C65A1" w:rsidP="00144477">
      <w:pPr>
        <w:tabs>
          <w:tab w:val="left" w:pos="556"/>
        </w:tabs>
        <w:ind w:right="2"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ռ</w:t>
      </w:r>
      <w:r w:rsidR="00144477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/ որպես պայմանագրի շնորհման նախապայման, հայտատուն պետք է ներկայացնի ՀՀ քաղաքաշինության կոմիտեի կողմից հաստատված </w:t>
      </w:r>
      <w:r w:rsidR="00F71997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«Քաղաքաշինության բնագավառում շինարարության իրականացում» լիցենզիա </w:t>
      </w:r>
      <w:r w:rsidR="009D435E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«Տրանսպորտային», «</w:t>
      </w:r>
      <w:r w:rsidR="002B640A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Հիդրոտեխնիկական</w:t>
      </w:r>
      <w:r w:rsidR="009D435E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»,</w:t>
      </w:r>
      <w:r w:rsidR="00CD603B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«Էներգետիկ»</w:t>
      </w:r>
      <w:r w:rsidR="009D435E" w:rsidRPr="00400FF2">
        <w:rPr>
          <w:rFonts w:ascii="GHEA Grapalat" w:hAnsi="GHEA Grapalat"/>
          <w:b/>
          <w:color w:val="FF0000"/>
          <w:spacing w:val="-2"/>
          <w:sz w:val="22"/>
          <w:szCs w:val="22"/>
          <w:lang w:val="hy-AM"/>
        </w:rPr>
        <w:t xml:space="preserve">  </w:t>
      </w:r>
      <w:r w:rsidR="00144477" w:rsidRPr="00400FF2">
        <w:rPr>
          <w:rFonts w:ascii="GHEA Grapalat" w:hAnsi="GHEA Grapalat"/>
          <w:spacing w:val="-2"/>
          <w:sz w:val="22"/>
          <w:szCs w:val="22"/>
          <w:lang w:val="hy-AM"/>
        </w:rPr>
        <w:t>ներդիր</w:t>
      </w:r>
      <w:r w:rsidR="008066C7" w:rsidRPr="00400FF2">
        <w:rPr>
          <w:rFonts w:ascii="GHEA Grapalat" w:hAnsi="GHEA Grapalat"/>
          <w:spacing w:val="-2"/>
          <w:sz w:val="22"/>
          <w:szCs w:val="22"/>
          <w:lang w:val="hy-AM"/>
        </w:rPr>
        <w:t>ներ</w:t>
      </w:r>
      <w:r w:rsidR="00144477" w:rsidRPr="00400FF2">
        <w:rPr>
          <w:rFonts w:ascii="GHEA Grapalat" w:hAnsi="GHEA Grapalat"/>
          <w:spacing w:val="-2"/>
          <w:sz w:val="22"/>
          <w:szCs w:val="22"/>
          <w:lang w:val="hy-AM"/>
        </w:rPr>
        <w:t>ով։</w:t>
      </w:r>
    </w:p>
    <w:p w:rsidR="00144477" w:rsidRPr="00400FF2" w:rsidRDefault="00144477" w:rsidP="00144477">
      <w:pPr>
        <w:tabs>
          <w:tab w:val="left" w:pos="556"/>
        </w:tabs>
        <w:ind w:right="2"/>
        <w:jc w:val="both"/>
        <w:rPr>
          <w:rFonts w:ascii="GHEA Grapalat" w:hAnsi="GHEA Grapalat" w:cs="Times LatArm"/>
          <w:b/>
          <w:i/>
          <w:sz w:val="22"/>
          <w:szCs w:val="22"/>
          <w:lang w:val="hy-AM"/>
        </w:rPr>
      </w:pPr>
      <w:r w:rsidRPr="00400FF2">
        <w:rPr>
          <w:rFonts w:ascii="GHEA Grapalat" w:hAnsi="GHEA Grapalat"/>
          <w:b/>
          <w:i/>
          <w:spacing w:val="-2"/>
          <w:lang w:val="hy-AM"/>
        </w:rPr>
        <w:lastRenderedPageBreak/>
        <w:t>*</w:t>
      </w:r>
      <w:r w:rsidRPr="00400FF2">
        <w:rPr>
          <w:rFonts w:ascii="GHEA Grapalat" w:hAnsi="GHEA Grapalat" w:cs="Times LatArm"/>
          <w:b/>
          <w:i/>
          <w:sz w:val="22"/>
          <w:szCs w:val="22"/>
          <w:lang w:val="hy-AM"/>
        </w:rPr>
        <w:t>Որակավորման պահանջների վերաբերյալ լրացուցիչ մանրամասներ ներկայացված են մրցութային փաստաթղթում (Բաժին III. Գնահատման և Որակավորման չափանիշներ):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spacing w:val="-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 xml:space="preserve">3. 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Մրցույթն իրականացվելու է Ազգային մրցակցային մրցույթի (NCB) միջոցով, համաձայն Համաշխարհային բանկի ուղեցույցների` «</w:t>
      </w:r>
      <w:r w:rsidRPr="00400FF2">
        <w:rPr>
          <w:rFonts w:ascii="GHEA Grapalat" w:hAnsi="GHEA Grapalat"/>
          <w:i/>
          <w:spacing w:val="-2"/>
          <w:sz w:val="22"/>
          <w:szCs w:val="22"/>
          <w:lang w:val="hy-AM"/>
        </w:rPr>
        <w:t>Ապրանքների, աշխատանքների և ոչ-խորհրդատվական ծառայությունների գնում ՄԶՎԲ փոխառությունների և Համաշխարհային բանկի վարկերի ու դրամաշնորհների փոխառուների կողմից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» (</w:t>
      </w:r>
      <w:r w:rsidR="006F0421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հունվար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2011 թ, վերանայված </w:t>
      </w:r>
      <w:r w:rsidR="006F0421"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հուլիս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2014 թ.)</w:t>
      </w:r>
      <w:r w:rsidRPr="00400FF2">
        <w:rPr>
          <w:rFonts w:ascii="GHEA Grapalat" w:hAnsi="GHEA Grapalat"/>
          <w:i/>
          <w:spacing w:val="-2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«Գնումների ուղեցույցներ»: Մրցույթը բաց է Գնումների ուղեցույցում սահմանված բոլոր իրավասու հայտատուների համար: Ի հավելումն` խնդրում ենք ծանոթանալ գնումների ուղեցույցի 1.6 և 1.7 կետերին, որտեղ ներկայացված է Համաշխարհային Բանկի քաղաքականությունը շահերի բախման վերաբերյալ:</w:t>
      </w:r>
      <w:r w:rsidRPr="00400FF2">
        <w:rPr>
          <w:rFonts w:ascii="GHEA Grapalat" w:hAnsi="GHEA Grapalat"/>
          <w:spacing w:val="-2"/>
          <w:lang w:val="hy-AM"/>
        </w:rPr>
        <w:t xml:space="preserve"> 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 xml:space="preserve">4. 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Շահագրգիռ իրավասու հայտատուները կարող են ամբողջական փաթեթը ներբեռնել </w:t>
      </w:r>
      <w:hyperlink r:id="rId10" w:history="1">
        <w:r w:rsidRPr="00400FF2">
          <w:rPr>
            <w:rStyle w:val="Hyperlink"/>
            <w:rFonts w:ascii="GHEA Grapalat" w:hAnsi="GHEA Grapalat"/>
            <w:spacing w:val="-2"/>
            <w:sz w:val="22"/>
            <w:szCs w:val="22"/>
            <w:lang w:val="hy-AM"/>
          </w:rPr>
          <w:t>www.gnumner.am</w:t>
        </w:r>
      </w:hyperlink>
      <w:r w:rsidRPr="00400FF2">
        <w:rPr>
          <w:rFonts w:ascii="GHEA Grapalat" w:hAnsi="GHEA Grapalat"/>
          <w:lang w:val="hy-AM"/>
        </w:rPr>
        <w:t xml:space="preserve">, </w:t>
      </w:r>
      <w:hyperlink r:id="rId11" w:history="1">
        <w:r w:rsidRPr="00400FF2">
          <w:rPr>
            <w:rStyle w:val="Hyperlink"/>
            <w:rFonts w:ascii="GHEA Grapalat" w:hAnsi="GHEA Grapalat"/>
            <w:spacing w:val="-2"/>
            <w:sz w:val="22"/>
            <w:szCs w:val="22"/>
            <w:lang w:val="hy-AM"/>
          </w:rPr>
          <w:t>www.armeps.am</w:t>
        </w:r>
      </w:hyperlink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կամ </w:t>
      </w:r>
      <w:hyperlink r:id="rId12" w:history="1">
        <w:r w:rsidRPr="00400FF2">
          <w:rPr>
            <w:rStyle w:val="Hyperlink"/>
            <w:rFonts w:ascii="GHEA Grapalat" w:hAnsi="GHEA Grapalat"/>
            <w:spacing w:val="-2"/>
            <w:sz w:val="22"/>
            <w:szCs w:val="22"/>
            <w:lang w:val="hy-AM"/>
          </w:rPr>
          <w:t>www.atdf.am</w:t>
        </w:r>
      </w:hyperlink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կայքերից: Ցանկացած կազմակերպություն կարող է գրանցվել էլեկտրոնային գնումների համակարգում և ներկայացնել Հայտը </w:t>
      </w:r>
      <w:r w:rsidRPr="00400FF2">
        <w:rPr>
          <w:rStyle w:val="Hyperlink"/>
          <w:rFonts w:ascii="GHEA Grapalat" w:hAnsi="GHEA Grapalat"/>
          <w:lang w:val="hy-AM"/>
        </w:rPr>
        <w:t>ARMEPS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էլեկտրոնային գնումների համակարգի միջոցով </w:t>
      </w:r>
      <w:r w:rsidRPr="00400FF2">
        <w:rPr>
          <w:rStyle w:val="Hyperlink"/>
          <w:rFonts w:ascii="GHEA Grapalat" w:hAnsi="GHEA Grapalat"/>
          <w:lang w:val="hy-AM"/>
        </w:rPr>
        <w:t>(</w:t>
      </w:r>
      <w:hyperlink r:id="rId13" w:history="1">
        <w:r w:rsidRPr="00400FF2">
          <w:rPr>
            <w:rStyle w:val="Hyperlink"/>
            <w:rFonts w:ascii="GHEA Grapalat" w:hAnsi="GHEA Grapalat"/>
            <w:spacing w:val="-2"/>
            <w:sz w:val="22"/>
            <w:szCs w:val="22"/>
            <w:lang w:val="hy-AM"/>
          </w:rPr>
          <w:t>www.armeps.am</w:t>
        </w:r>
      </w:hyperlink>
      <w:r w:rsidRPr="00400FF2">
        <w:rPr>
          <w:rStyle w:val="Hyperlink"/>
          <w:rFonts w:ascii="GHEA Grapalat" w:hAnsi="GHEA Grapalat"/>
          <w:lang w:val="hy-AM"/>
        </w:rPr>
        <w:t>):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 </w:t>
      </w:r>
    </w:p>
    <w:p w:rsidR="00144477" w:rsidRPr="00400FF2" w:rsidRDefault="00144477" w:rsidP="000821F7">
      <w:pPr>
        <w:suppressAutoHyphens/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Հայտնում ենք, որ 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Հայաստանի տարածքային զարգացման հիմնադրամը</w:t>
      </w:r>
      <w:r w:rsidRPr="00400FF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>պատասխանատվություն չի կրում հայտատուի կողմից վերոնշյալ կայքերից մրցութային փաթեթի սխալ կամ ոչ ամբողջական ներբեռնման, ինչպես նաև հետագայում հրավերի փոփոխությունների առկայության դեպքում դրանց բացթողնման համար: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 xml:space="preserve">5. 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Հայտերը պետք է ներկայացվեն </w:t>
      </w:r>
      <w:r w:rsidRPr="00400FF2">
        <w:rPr>
          <w:rFonts w:ascii="GHEA Grapalat" w:hAnsi="GHEA Grapalat"/>
          <w:b/>
          <w:spacing w:val="-2"/>
          <w:sz w:val="22"/>
          <w:szCs w:val="22"/>
          <w:u w:val="single"/>
          <w:lang w:val="hy-AM"/>
        </w:rPr>
        <w:t>միայն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էլեկտրոնային եղանակով՝ էլեկտրոնային գնումների 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Armeps (</w:t>
      </w:r>
      <w:hyperlink r:id="rId14" w:history="1">
        <w:r w:rsidRPr="00400FF2">
          <w:rPr>
            <w:rFonts w:ascii="GHEA Grapalat" w:hAnsi="GHEA Grapalat" w:cs="Arial"/>
            <w:b/>
            <w:color w:val="0033CC"/>
            <w:sz w:val="22"/>
            <w:szCs w:val="22"/>
            <w:lang w:val="hy-AM"/>
          </w:rPr>
          <w:t>www.armeps.am</w:t>
        </w:r>
      </w:hyperlink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կայքէջի) համակարգի</w:t>
      </w:r>
      <w:r w:rsidRPr="00400FF2">
        <w:rPr>
          <w:rFonts w:ascii="GHEA Grapalat" w:hAnsi="GHEA Grapalat"/>
          <w:color w:val="FF0000"/>
          <w:spacing w:val="-2"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միջոցով ամենաուշը </w:t>
      </w:r>
      <w:r w:rsidR="006B6C32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202</w:t>
      </w:r>
      <w:r w:rsidR="00F4674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4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 xml:space="preserve"> թվականի </w:t>
      </w:r>
      <w:r w:rsidR="00F46740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մայիսի 29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-ին ժամը 1</w:t>
      </w:r>
      <w:r w:rsidR="007C669B"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2</w:t>
      </w:r>
      <w:r w:rsidRPr="00400FF2">
        <w:rPr>
          <w:rFonts w:ascii="GHEA Grapalat" w:hAnsi="GHEA Grapalat" w:cs="Arial"/>
          <w:b/>
          <w:color w:val="0033CC"/>
          <w:sz w:val="22"/>
          <w:szCs w:val="22"/>
          <w:lang w:val="hy-AM"/>
        </w:rPr>
        <w:t>:00-ին: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Հայտերը ներկայացնելու վերջնաժամկետը լրանալուց հետո ներկայացված հայտերը </w:t>
      </w:r>
      <w:r w:rsidRPr="00400FF2">
        <w:rPr>
          <w:rFonts w:ascii="GHEA Grapalat" w:hAnsi="GHEA Grapalat"/>
          <w:b/>
          <w:spacing w:val="-2"/>
          <w:sz w:val="22"/>
          <w:szCs w:val="22"/>
          <w:lang w:val="hy-AM"/>
        </w:rPr>
        <w:t>չեն ընդունվում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 Համակարգի կողմից։ </w:t>
      </w:r>
    </w:p>
    <w:p w:rsidR="006B6C32" w:rsidRPr="00400FF2" w:rsidRDefault="00144477" w:rsidP="0014447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GHEA Grapalat" w:hAnsi="GHEA Grapalat"/>
          <w:spacing w:val="-2"/>
          <w:sz w:val="22"/>
          <w:szCs w:val="22"/>
          <w:lang w:val="hy-AM"/>
        </w:rPr>
      </w:pPr>
      <w:r w:rsidRPr="00400FF2">
        <w:rPr>
          <w:rFonts w:ascii="GHEA Grapalat" w:hAnsi="GHEA Grapalat"/>
          <w:spacing w:val="-2"/>
          <w:lang w:val="hy-AM"/>
        </w:rPr>
        <w:t xml:space="preserve">6. </w:t>
      </w:r>
      <w:r w:rsidRPr="00400FF2">
        <w:rPr>
          <w:rFonts w:ascii="GHEA Grapalat" w:hAnsi="GHEA Grapalat"/>
          <w:spacing w:val="-2"/>
          <w:lang w:val="hy-AM"/>
        </w:rPr>
        <w:tab/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Բոլոր հայտերը պետք է ուղեկցվեն </w:t>
      </w:r>
      <w:r w:rsidRPr="00400FF2">
        <w:rPr>
          <w:rFonts w:ascii="GHEA Grapalat" w:hAnsi="GHEA Grapalat"/>
          <w:b/>
          <w:spacing w:val="-2"/>
          <w:sz w:val="22"/>
          <w:szCs w:val="22"/>
          <w:lang w:val="hy-AM"/>
        </w:rPr>
        <w:t>Մրցույթի ապահովման հայտարարագրով</w:t>
      </w:r>
      <w:r w:rsidRPr="00400FF2">
        <w:rPr>
          <w:rFonts w:ascii="GHEA Grapalat" w:hAnsi="GHEA Grapalat"/>
          <w:spacing w:val="-2"/>
          <w:sz w:val="22"/>
          <w:szCs w:val="22"/>
          <w:lang w:val="hy-AM"/>
        </w:rPr>
        <w:t xml:space="preserve">: </w:t>
      </w:r>
    </w:p>
    <w:p w:rsidR="00144477" w:rsidRPr="00400FF2" w:rsidRDefault="00144477" w:rsidP="00144477">
      <w:pPr>
        <w:suppressAutoHyphens/>
        <w:rPr>
          <w:rFonts w:ascii="GHEA Grapalat" w:hAnsi="GHEA Grapalat"/>
          <w:i/>
          <w:lang w:val="hy-AM"/>
        </w:rPr>
      </w:pPr>
      <w:r w:rsidRPr="00400FF2">
        <w:rPr>
          <w:rFonts w:ascii="GHEA Grapalat" w:hAnsi="GHEA Grapalat"/>
          <w:iCs/>
          <w:spacing w:val="-2"/>
          <w:lang w:val="hy-AM"/>
        </w:rPr>
        <w:t>7.</w:t>
      </w:r>
      <w:r w:rsidRPr="00400FF2">
        <w:rPr>
          <w:rFonts w:ascii="GHEA Grapalat" w:hAnsi="GHEA Grapalat"/>
          <w:iCs/>
          <w:spacing w:val="-2"/>
          <w:lang w:val="hy-AM"/>
        </w:rPr>
        <w:tab/>
      </w:r>
      <w:r w:rsidRPr="00400FF2">
        <w:rPr>
          <w:rFonts w:ascii="GHEA Grapalat" w:hAnsi="GHEA Grapalat"/>
          <w:iCs/>
          <w:sz w:val="22"/>
          <w:szCs w:val="22"/>
          <w:lang w:val="hy-AM"/>
        </w:rPr>
        <w:t>Պատվիրատուի հասցեն ներկայացված է ստորև`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>Հայաստանի տարածքային զարգացման հիմնադրամ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 xml:space="preserve">պարոն </w:t>
      </w:r>
      <w:r w:rsidR="00C7551C" w:rsidRPr="00400FF2">
        <w:rPr>
          <w:rFonts w:ascii="GHEA Grapalat" w:hAnsi="GHEA Grapalat"/>
          <w:b/>
          <w:sz w:val="22"/>
          <w:szCs w:val="22"/>
          <w:lang w:val="hy-AM"/>
        </w:rPr>
        <w:t>Սարգիս Բաղինյանին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, Գործադիր տնօրեն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>ՀՀ, ք. Երևան 0037, Կ. Ուլնեցու 31</w:t>
      </w:r>
    </w:p>
    <w:p w:rsidR="00144477" w:rsidRPr="00400FF2" w:rsidRDefault="00144477" w:rsidP="00144477">
      <w:pPr>
        <w:suppressAutoHyphens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 xml:space="preserve">Հեռ.՝ </w:t>
      </w:r>
      <w:r w:rsidR="000E30C0" w:rsidRPr="00400FF2">
        <w:rPr>
          <w:rFonts w:ascii="GHEA Grapalat" w:hAnsi="GHEA Grapalat"/>
          <w:b/>
          <w:sz w:val="22"/>
          <w:szCs w:val="22"/>
          <w:lang w:val="hy-AM"/>
        </w:rPr>
        <w:t>+374 060 50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1</w:t>
      </w:r>
      <w:r w:rsidR="000E30C0" w:rsidRPr="00400F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400FF2">
        <w:rPr>
          <w:rFonts w:ascii="GHEA Grapalat" w:hAnsi="GHEA Grapalat"/>
          <w:b/>
          <w:sz w:val="22"/>
          <w:szCs w:val="22"/>
          <w:lang w:val="hy-AM"/>
        </w:rPr>
        <w:t>560</w:t>
      </w:r>
    </w:p>
    <w:p w:rsidR="00144477" w:rsidRPr="00400FF2" w:rsidRDefault="000E30C0" w:rsidP="00144477">
      <w:pPr>
        <w:suppressAutoHyphens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 xml:space="preserve">Էլ. հասցե` </w:t>
      </w:r>
      <w:hyperlink r:id="rId15" w:history="1">
        <w:r w:rsidR="00144477" w:rsidRPr="00400FF2">
          <w:rPr>
            <w:rFonts w:ascii="GHEA Grapalat" w:hAnsi="GHEA Grapalat"/>
            <w:b/>
            <w:lang w:val="hy-AM"/>
          </w:rPr>
          <w:t>procurement@atdf.am</w:t>
        </w:r>
      </w:hyperlink>
      <w:r w:rsidR="00975842" w:rsidRPr="00400FF2">
        <w:rPr>
          <w:rFonts w:ascii="GHEA Grapalat" w:hAnsi="GHEA Grapalat"/>
          <w:b/>
          <w:lang w:val="hy-AM"/>
        </w:rPr>
        <w:t xml:space="preserve"> </w:t>
      </w:r>
      <w:r w:rsidR="007551EE" w:rsidRPr="00400FF2">
        <w:rPr>
          <w:rFonts w:ascii="GHEA Grapalat" w:hAnsi="GHEA Grapalat"/>
          <w:b/>
          <w:lang w:val="hy-AM"/>
        </w:rPr>
        <w:t xml:space="preserve">  </w:t>
      </w:r>
      <w:r w:rsidR="00FF301D" w:rsidRPr="00400FF2">
        <w:rPr>
          <w:rFonts w:ascii="GHEA Grapalat" w:hAnsi="GHEA Grapalat"/>
          <w:b/>
          <w:lang w:val="hy-AM"/>
        </w:rPr>
        <w:t xml:space="preserve"> </w:t>
      </w:r>
    </w:p>
    <w:p w:rsidR="00371D48" w:rsidRPr="00400FF2" w:rsidRDefault="00144477" w:rsidP="00144477">
      <w:pPr>
        <w:suppressAutoHyphens/>
        <w:jc w:val="both"/>
        <w:rPr>
          <w:rFonts w:ascii="GHEA Grapalat" w:hAnsi="GHEA Grapalat"/>
          <w:lang w:val="hy-AM"/>
        </w:rPr>
      </w:pPr>
      <w:r w:rsidRPr="00400FF2">
        <w:rPr>
          <w:rFonts w:ascii="GHEA Grapalat" w:hAnsi="GHEA Grapalat"/>
          <w:b/>
          <w:sz w:val="22"/>
          <w:szCs w:val="22"/>
          <w:lang w:val="hy-AM"/>
        </w:rPr>
        <w:t xml:space="preserve">Վեբկայք` </w:t>
      </w:r>
      <w:hyperlink r:id="rId16" w:history="1">
        <w:r w:rsidR="007551EE" w:rsidRPr="00400FF2">
          <w:rPr>
            <w:rStyle w:val="Hyperlink"/>
            <w:rFonts w:ascii="GHEA Grapalat" w:hAnsi="GHEA Grapalat"/>
            <w:b/>
            <w:sz w:val="22"/>
            <w:lang w:val="hy-AM"/>
          </w:rPr>
          <w:t>www.atdf.am</w:t>
        </w:r>
      </w:hyperlink>
      <w:r w:rsidR="007551EE" w:rsidRPr="00400FF2">
        <w:rPr>
          <w:rFonts w:ascii="GHEA Grapalat" w:hAnsi="GHEA Grapalat"/>
          <w:b/>
          <w:sz w:val="22"/>
          <w:lang w:val="hy-AM"/>
        </w:rPr>
        <w:t xml:space="preserve"> </w:t>
      </w:r>
    </w:p>
    <w:sectPr w:rsidR="00371D48" w:rsidRPr="00400FF2" w:rsidSect="00464FDA">
      <w:headerReference w:type="even" r:id="rId17"/>
      <w:headerReference w:type="first" r:id="rId18"/>
      <w:pgSz w:w="11907" w:h="16839" w:code="9"/>
      <w:pgMar w:top="1080" w:right="1440" w:bottom="990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E5" w:rsidRDefault="008F52E5" w:rsidP="00144477">
      <w:r>
        <w:separator/>
      </w:r>
    </w:p>
  </w:endnote>
  <w:endnote w:type="continuationSeparator" w:id="0">
    <w:p w:rsidR="008F52E5" w:rsidRDefault="008F52E5" w:rsidP="001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E5" w:rsidRDefault="008F52E5" w:rsidP="00144477">
      <w:r>
        <w:separator/>
      </w:r>
    </w:p>
  </w:footnote>
  <w:footnote w:type="continuationSeparator" w:id="0">
    <w:p w:rsidR="008F52E5" w:rsidRDefault="008F52E5" w:rsidP="0014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83" w:rsidRDefault="00DB6283">
    <w:pPr>
      <w:pStyle w:val="Header"/>
    </w:pPr>
    <w:r>
      <w:rPr>
        <w:rStyle w:val="PageNumber"/>
        <w:rFonts w:cs="Arial"/>
      </w:rPr>
      <w:t>3-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46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  <w:t>Section X - Contract Forms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83" w:rsidRDefault="00DB628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B9"/>
    <w:multiLevelType w:val="hybridMultilevel"/>
    <w:tmpl w:val="81D06680"/>
    <w:lvl w:ilvl="0" w:tplc="014058C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4704"/>
    <w:multiLevelType w:val="hybridMultilevel"/>
    <w:tmpl w:val="DB8620D4"/>
    <w:lvl w:ilvl="0" w:tplc="CF8CC2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AE2D86"/>
    <w:multiLevelType w:val="hybridMultilevel"/>
    <w:tmpl w:val="63FC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7CDD"/>
    <w:multiLevelType w:val="hybridMultilevel"/>
    <w:tmpl w:val="C90A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96"/>
    <w:rsid w:val="0002108F"/>
    <w:rsid w:val="00027C4A"/>
    <w:rsid w:val="00033337"/>
    <w:rsid w:val="000421DE"/>
    <w:rsid w:val="00052592"/>
    <w:rsid w:val="00077247"/>
    <w:rsid w:val="000821F7"/>
    <w:rsid w:val="000E06B6"/>
    <w:rsid w:val="000E2042"/>
    <w:rsid w:val="000E30C0"/>
    <w:rsid w:val="00144477"/>
    <w:rsid w:val="00182D9D"/>
    <w:rsid w:val="001E1D55"/>
    <w:rsid w:val="00221410"/>
    <w:rsid w:val="00225E55"/>
    <w:rsid w:val="00237976"/>
    <w:rsid w:val="002B640A"/>
    <w:rsid w:val="002D7C93"/>
    <w:rsid w:val="0035675C"/>
    <w:rsid w:val="00371D48"/>
    <w:rsid w:val="00386CC2"/>
    <w:rsid w:val="003B7241"/>
    <w:rsid w:val="003C2C0B"/>
    <w:rsid w:val="003E5BEE"/>
    <w:rsid w:val="00400FF2"/>
    <w:rsid w:val="00422E87"/>
    <w:rsid w:val="00441378"/>
    <w:rsid w:val="0045377B"/>
    <w:rsid w:val="00464FDA"/>
    <w:rsid w:val="004751A9"/>
    <w:rsid w:val="00477F3E"/>
    <w:rsid w:val="0048590F"/>
    <w:rsid w:val="004D1B87"/>
    <w:rsid w:val="004F0347"/>
    <w:rsid w:val="004F79E9"/>
    <w:rsid w:val="0054461E"/>
    <w:rsid w:val="00567511"/>
    <w:rsid w:val="005848B6"/>
    <w:rsid w:val="005962A3"/>
    <w:rsid w:val="005D1119"/>
    <w:rsid w:val="005D6A67"/>
    <w:rsid w:val="005F2A20"/>
    <w:rsid w:val="00615F0D"/>
    <w:rsid w:val="00644B3A"/>
    <w:rsid w:val="00677CEF"/>
    <w:rsid w:val="00687F14"/>
    <w:rsid w:val="006B6C32"/>
    <w:rsid w:val="006C65A1"/>
    <w:rsid w:val="006F0421"/>
    <w:rsid w:val="007073DF"/>
    <w:rsid w:val="00713495"/>
    <w:rsid w:val="00723B73"/>
    <w:rsid w:val="00725439"/>
    <w:rsid w:val="00737A6C"/>
    <w:rsid w:val="007551EE"/>
    <w:rsid w:val="00761A63"/>
    <w:rsid w:val="007B25C8"/>
    <w:rsid w:val="007C62C6"/>
    <w:rsid w:val="007C669B"/>
    <w:rsid w:val="008066C7"/>
    <w:rsid w:val="00806B85"/>
    <w:rsid w:val="00897739"/>
    <w:rsid w:val="008E6D01"/>
    <w:rsid w:val="008F52E5"/>
    <w:rsid w:val="00905E28"/>
    <w:rsid w:val="0091491E"/>
    <w:rsid w:val="00944C25"/>
    <w:rsid w:val="00964484"/>
    <w:rsid w:val="00975842"/>
    <w:rsid w:val="00985BBB"/>
    <w:rsid w:val="00992882"/>
    <w:rsid w:val="009A5692"/>
    <w:rsid w:val="009B3D96"/>
    <w:rsid w:val="009D435E"/>
    <w:rsid w:val="009E602A"/>
    <w:rsid w:val="00A01567"/>
    <w:rsid w:val="00A05CF5"/>
    <w:rsid w:val="00A40AA2"/>
    <w:rsid w:val="00A41AF1"/>
    <w:rsid w:val="00A85AAB"/>
    <w:rsid w:val="00AC25EB"/>
    <w:rsid w:val="00B03096"/>
    <w:rsid w:val="00B07266"/>
    <w:rsid w:val="00B1468D"/>
    <w:rsid w:val="00B45011"/>
    <w:rsid w:val="00B50A39"/>
    <w:rsid w:val="00B75F38"/>
    <w:rsid w:val="00B94E6E"/>
    <w:rsid w:val="00B9508C"/>
    <w:rsid w:val="00BA6740"/>
    <w:rsid w:val="00BE1DA9"/>
    <w:rsid w:val="00BE70D3"/>
    <w:rsid w:val="00C74812"/>
    <w:rsid w:val="00C7551C"/>
    <w:rsid w:val="00CB1FF8"/>
    <w:rsid w:val="00CB4C77"/>
    <w:rsid w:val="00CC1565"/>
    <w:rsid w:val="00CD603B"/>
    <w:rsid w:val="00CD6230"/>
    <w:rsid w:val="00D00887"/>
    <w:rsid w:val="00D11435"/>
    <w:rsid w:val="00D22340"/>
    <w:rsid w:val="00DB6283"/>
    <w:rsid w:val="00DF285B"/>
    <w:rsid w:val="00DF3AE1"/>
    <w:rsid w:val="00E337CC"/>
    <w:rsid w:val="00E6121E"/>
    <w:rsid w:val="00E84803"/>
    <w:rsid w:val="00EE01E0"/>
    <w:rsid w:val="00F033E8"/>
    <w:rsid w:val="00F036F3"/>
    <w:rsid w:val="00F26599"/>
    <w:rsid w:val="00F305AC"/>
    <w:rsid w:val="00F36152"/>
    <w:rsid w:val="00F46740"/>
    <w:rsid w:val="00F51296"/>
    <w:rsid w:val="00F71997"/>
    <w:rsid w:val="00F90D13"/>
    <w:rsid w:val="00FD4402"/>
    <w:rsid w:val="00FF1CB3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477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4477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rsid w:val="00144477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144477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44477"/>
    <w:rPr>
      <w:rFonts w:ascii="Arial" w:eastAsia="Times New Roman" w:hAnsi="Arial" w:cs="Arial"/>
      <w:sz w:val="20"/>
      <w:szCs w:val="24"/>
    </w:rPr>
  </w:style>
  <w:style w:type="character" w:styleId="Hyperlink">
    <w:name w:val="Hyperlink"/>
    <w:uiPriority w:val="99"/>
    <w:rsid w:val="00144477"/>
    <w:rPr>
      <w:color w:val="0000FF"/>
      <w:u w:val="single"/>
    </w:rPr>
  </w:style>
  <w:style w:type="paragraph" w:customStyle="1" w:styleId="ChapterNumber">
    <w:name w:val="ChapterNumber"/>
    <w:rsid w:val="0014447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14447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A67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A674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477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4477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rsid w:val="00144477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144477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44477"/>
    <w:rPr>
      <w:rFonts w:ascii="Arial" w:eastAsia="Times New Roman" w:hAnsi="Arial" w:cs="Arial"/>
      <w:sz w:val="20"/>
      <w:szCs w:val="24"/>
    </w:rPr>
  </w:style>
  <w:style w:type="character" w:styleId="Hyperlink">
    <w:name w:val="Hyperlink"/>
    <w:uiPriority w:val="99"/>
    <w:rsid w:val="00144477"/>
    <w:rPr>
      <w:color w:val="0000FF"/>
      <w:u w:val="single"/>
    </w:rPr>
  </w:style>
  <w:style w:type="paragraph" w:customStyle="1" w:styleId="ChapterNumber">
    <w:name w:val="ChapterNumber"/>
    <w:rsid w:val="0014447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14447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A67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A67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5%D6%80%D6%87%D5%A1%D5%B6" TargetMode="External"/><Relationship Id="rId13" Type="http://schemas.openxmlformats.org/officeDocument/2006/relationships/hyperlink" Target="http://www.armeps.a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df.a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tdf.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atdf.am" TargetMode="External"/><Relationship Id="rId10" Type="http://schemas.openxmlformats.org/officeDocument/2006/relationships/hyperlink" Target="http://www.gnumner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4%B3%D5%A1%D5%BC%D5%B6%D5%AB_(%D5%A3%D5%B5%D5%B8%D6%82%D5%B2)" TargetMode="External"/><Relationship Id="rId1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Sargsyan</dc:creator>
  <cp:lastModifiedBy>Mari Movsisyan</cp:lastModifiedBy>
  <cp:revision>96</cp:revision>
  <cp:lastPrinted>2023-09-25T11:30:00Z</cp:lastPrinted>
  <dcterms:created xsi:type="dcterms:W3CDTF">2021-03-15T14:24:00Z</dcterms:created>
  <dcterms:modified xsi:type="dcterms:W3CDTF">2024-05-15T10:26:00Z</dcterms:modified>
</cp:coreProperties>
</file>