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7BFF">
        <w:rPr>
          <w:rFonts w:ascii="GHEA Grapalat" w:hAnsi="GHEA Grapalat"/>
          <w:b w:val="0"/>
          <w:sz w:val="24"/>
          <w:szCs w:val="24"/>
        </w:rPr>
        <w:t>2</w:t>
      </w:r>
      <w:r w:rsidR="00A961B5">
        <w:rPr>
          <w:rFonts w:ascii="GHEA Grapalat" w:hAnsi="GHEA Grapalat"/>
          <w:b w:val="0"/>
          <w:sz w:val="24"/>
          <w:szCs w:val="24"/>
        </w:rPr>
        <w:t>.1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941126">
        <w:rPr>
          <w:rFonts w:ascii="GHEA Grapalat" w:hAnsi="GHEA Grapalat"/>
          <w:b w:val="0"/>
          <w:sz w:val="24"/>
          <w:szCs w:val="24"/>
        </w:rPr>
        <w:t>6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proofErr w:type="gramStart"/>
      <w:r w:rsidR="00A42FBD">
        <w:rPr>
          <w:rFonts w:ascii="GHEA Grapalat" w:hAnsi="GHEA Grapalat"/>
          <w:b w:val="0"/>
          <w:sz w:val="24"/>
          <w:szCs w:val="24"/>
        </w:rPr>
        <w:t>ию</w:t>
      </w:r>
      <w:r w:rsidR="00941126">
        <w:rPr>
          <w:rFonts w:ascii="GHEA Grapalat" w:hAnsi="GHEA Grapalat"/>
          <w:b w:val="0"/>
          <w:sz w:val="24"/>
          <w:szCs w:val="24"/>
        </w:rPr>
        <w:t>л</w:t>
      </w:r>
      <w:r w:rsidR="00A42FBD">
        <w:rPr>
          <w:rFonts w:ascii="GHEA Grapalat" w:hAnsi="GHEA Grapalat"/>
          <w:b w:val="0"/>
          <w:sz w:val="24"/>
          <w:szCs w:val="24"/>
        </w:rPr>
        <w:t>я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87BFF">
        <w:rPr>
          <w:rFonts w:ascii="GHEA Grapalat" w:hAnsi="GHEA Grapalat"/>
          <w:b w:val="0"/>
          <w:sz w:val="24"/>
          <w:szCs w:val="24"/>
        </w:rPr>
        <w:t>21</w:t>
      </w:r>
      <w:proofErr w:type="gramEnd"/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987BFF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2FBD">
        <w:rPr>
          <w:rFonts w:ascii="GHEA Grapalat" w:hAnsi="GHEA Grapalat"/>
          <w:b w:val="0"/>
          <w:sz w:val="24"/>
          <w:szCs w:val="24"/>
        </w:rPr>
        <w:t>HAEK-BMAPDzB-13</w:t>
      </w:r>
      <w:r w:rsidR="00987BFF" w:rsidRPr="00987BFF">
        <w:rPr>
          <w:rFonts w:ascii="GHEA Grapalat" w:hAnsi="GHEA Grapalat"/>
          <w:b w:val="0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B0220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6B346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6B346B">
        <w:rPr>
          <w:rFonts w:ascii="GHEA Grapalat" w:hAnsi="GHEA Grapalat"/>
          <w:szCs w:val="24"/>
        </w:rPr>
        <w:t>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B0220B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r w:rsidR="00B0220B" w:rsidRPr="00B0220B">
        <w:rPr>
          <w:rFonts w:ascii="GHEA Grapalat" w:hAnsi="GHEA Grapalat"/>
          <w:spacing w:val="4"/>
          <w:szCs w:val="24"/>
        </w:rPr>
        <w:t>товаров «Модернизация оборудования автоматического регулирования технологическими процессами и исполнительных механизмов (МЭО) для энергоблока №2 Армянской АЭС»</w:t>
      </w:r>
      <w:r w:rsidR="00085F00" w:rsidRPr="00B0220B">
        <w:rPr>
          <w:rFonts w:ascii="GHEA Grapalat" w:hAnsi="GHEA Grapalat"/>
          <w:spacing w:val="4"/>
          <w:szCs w:val="24"/>
        </w:rPr>
        <w:t xml:space="preserve"> для нужд </w:t>
      </w:r>
      <w:r w:rsidR="00B0220B" w:rsidRPr="00B0220B">
        <w:rPr>
          <w:rFonts w:ascii="GHEA Grapalat" w:hAnsi="GHEA Grapalat"/>
          <w:spacing w:val="4"/>
          <w:szCs w:val="24"/>
        </w:rPr>
        <w:t>ЗАО «ААЭК»</w:t>
      </w:r>
      <w:r w:rsidR="00085F00" w:rsidRPr="00B0220B">
        <w:rPr>
          <w:rFonts w:ascii="GHEA Grapalat" w:hAnsi="GHEA Grapalat"/>
          <w:spacing w:val="4"/>
          <w:szCs w:val="24"/>
        </w:rPr>
        <w:t>, ниже 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</w:t>
      </w:r>
      <w:r w:rsidR="00A42FBD">
        <w:rPr>
          <w:rFonts w:ascii="GHEA Grapalat" w:hAnsi="GHEA Grapalat"/>
          <w:spacing w:val="4"/>
          <w:szCs w:val="24"/>
        </w:rPr>
        <w:t>й</w:t>
      </w:r>
      <w:r w:rsidR="00085F00" w:rsidRPr="00294538">
        <w:rPr>
          <w:rFonts w:ascii="GHEA Grapalat" w:hAnsi="GHEA Grapalat"/>
          <w:spacing w:val="4"/>
          <w:szCs w:val="24"/>
        </w:rPr>
        <w:t xml:space="preserve"> </w:t>
      </w:r>
      <w:r w:rsidR="00A961B5">
        <w:rPr>
          <w:rFonts w:ascii="GHEA Grapalat" w:hAnsi="GHEA Grapalat"/>
          <w:spacing w:val="4"/>
          <w:szCs w:val="24"/>
        </w:rPr>
        <w:t>2</w:t>
      </w:r>
      <w:r w:rsidR="00941126">
        <w:rPr>
          <w:rFonts w:ascii="GHEA Grapalat" w:hAnsi="GHEA Grapalat"/>
          <w:spacing w:val="4"/>
          <w:szCs w:val="24"/>
        </w:rPr>
        <w:t>9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A42FBD">
        <w:rPr>
          <w:rFonts w:ascii="GHEA Grapalat" w:hAnsi="GHEA Grapalat"/>
          <w:spacing w:val="4"/>
          <w:szCs w:val="24"/>
        </w:rPr>
        <w:t>июня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B0220B" w:rsidRPr="00B0220B">
        <w:rPr>
          <w:rFonts w:ascii="GHEA Grapalat" w:hAnsi="GHEA Grapalat"/>
          <w:spacing w:val="4"/>
          <w:szCs w:val="24"/>
        </w:rPr>
        <w:t>2021г.</w:t>
      </w:r>
      <w:r w:rsidR="00085F00" w:rsidRPr="00B0220B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B0220B">
        <w:rPr>
          <w:rFonts w:ascii="GHEA Grapalat" w:hAnsi="GHEA Grapalat"/>
          <w:spacing w:val="4"/>
          <w:szCs w:val="24"/>
        </w:rPr>
        <w:t xml:space="preserve"> </w:t>
      </w:r>
      <w:r w:rsidR="00941126">
        <w:rPr>
          <w:rFonts w:ascii="GHEA Grapalat" w:hAnsi="GHEA Grapalat"/>
          <w:spacing w:val="4"/>
          <w:szCs w:val="24"/>
        </w:rPr>
        <w:t>06</w:t>
      </w:r>
      <w:r w:rsidR="00B0220B" w:rsidRPr="00B0220B">
        <w:rPr>
          <w:rFonts w:ascii="GHEA Grapalat" w:hAnsi="GHEA Grapalat"/>
          <w:spacing w:val="4"/>
          <w:szCs w:val="24"/>
        </w:rPr>
        <w:t>.0</w:t>
      </w:r>
      <w:r w:rsidR="00941126">
        <w:rPr>
          <w:rFonts w:ascii="GHEA Grapalat" w:hAnsi="GHEA Grapalat"/>
          <w:spacing w:val="4"/>
          <w:szCs w:val="24"/>
        </w:rPr>
        <w:t>7</w:t>
      </w:r>
      <w:r w:rsidR="00B0220B" w:rsidRPr="00B0220B">
        <w:rPr>
          <w:rFonts w:ascii="GHEA Grapalat" w:hAnsi="GHEA Grapalat"/>
          <w:spacing w:val="4"/>
          <w:szCs w:val="24"/>
        </w:rPr>
        <w:t>.2021г.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>ним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proofErr w:type="gramEnd"/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1 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В объявлении об открытом конкурсе указано, что данная процедура осуществляется согласно п. 2 ч. 6 статьи 15 Закона РА «О закупках». 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Данная статья подразумевает, что контракт с отобранным участников «может быть заключен до </w:t>
      </w:r>
      <w:proofErr w:type="spellStart"/>
      <w:r w:rsidRPr="006170AF">
        <w:rPr>
          <w:rFonts w:ascii="GHEA Grapalat" w:hAnsi="GHEA Grapalat"/>
          <w:szCs w:val="18"/>
          <w:lang w:val="ru-RU"/>
        </w:rPr>
        <w:t>предусмотрения</w:t>
      </w:r>
      <w:proofErr w:type="spellEnd"/>
      <w:r w:rsidRPr="006170AF">
        <w:rPr>
          <w:rFonts w:ascii="GHEA Grapalat" w:hAnsi="GHEA Grapalat"/>
          <w:szCs w:val="18"/>
          <w:lang w:val="ru-RU"/>
        </w:rPr>
        <w:t xml:space="preserve"> финансовых средств», но «контракт расторгается, если финансовые средства для выполнения контракта не были предусмотрены в течение шести месяцев, следующего за днем его заключения».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Также в Приложении 1 к Проекту Договора (Приложение №6 к Приглашению на открытый конкурс) указано, что начало работ запланировано «в случае выделения финансовых средств, со дня заключения дополнительного соглашения».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Просим подтвердить, что в рамках данной процедуры договор с отобранным участником будет заключаться до </w:t>
      </w:r>
      <w:proofErr w:type="spellStart"/>
      <w:r w:rsidRPr="006170AF">
        <w:rPr>
          <w:rFonts w:ascii="GHEA Grapalat" w:hAnsi="GHEA Grapalat"/>
          <w:szCs w:val="18"/>
          <w:lang w:val="ru-RU"/>
        </w:rPr>
        <w:t>предусмотрения</w:t>
      </w:r>
      <w:proofErr w:type="spellEnd"/>
      <w:r w:rsidRPr="006170AF">
        <w:rPr>
          <w:rFonts w:ascii="GHEA Grapalat" w:hAnsi="GHEA Grapalat"/>
          <w:szCs w:val="18"/>
          <w:lang w:val="ru-RU"/>
        </w:rPr>
        <w:t xml:space="preserve"> финансовых средств, но начало выполнения работ/ поставки товаров по договору начнётся только при подтверждении выделения средств и подписании дополнительного соглашения.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lastRenderedPageBreak/>
        <w:t>Можно ли ознакомиться с проектом дополнительного соглашения на данном этапе участия в открытом конкурсе?</w:t>
      </w:r>
    </w:p>
    <w:p w:rsidR="00B0220B" w:rsidRDefault="00D64FDA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941126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Текст </w:t>
      </w:r>
      <w:r w:rsidRPr="006170AF">
        <w:rPr>
          <w:rFonts w:ascii="GHEA Grapalat" w:hAnsi="GHEA Grapalat"/>
          <w:szCs w:val="18"/>
          <w:lang w:val="ru-RU"/>
        </w:rPr>
        <w:t xml:space="preserve">приглашения является подтверждением того, что в рамках данной процедуры договор с отобранным участником будет заключаться до выделения финансовых средств, но начало выполнения работ/ поставки товаров по договору начнётся только при подтверждении выделения средств и подписании дополнительного соглашения. Дополнительным соглашением </w:t>
      </w:r>
      <w:proofErr w:type="gramStart"/>
      <w:r w:rsidRPr="006170AF">
        <w:rPr>
          <w:rFonts w:ascii="GHEA Grapalat" w:hAnsi="GHEA Grapalat"/>
          <w:szCs w:val="18"/>
          <w:lang w:val="ru-RU"/>
        </w:rPr>
        <w:t>утверждается  приложение</w:t>
      </w:r>
      <w:proofErr w:type="gramEnd"/>
      <w:r w:rsidRPr="006170AF">
        <w:rPr>
          <w:rFonts w:ascii="GHEA Grapalat" w:hAnsi="GHEA Grapalat"/>
          <w:szCs w:val="18"/>
          <w:lang w:val="ru-RU"/>
        </w:rPr>
        <w:t xml:space="preserve"> 2 (график оплаты).</w:t>
      </w:r>
    </w:p>
    <w:p w:rsidR="00941126" w:rsidRDefault="00941126" w:rsidP="00A42FBD">
      <w:pPr>
        <w:pStyle w:val="Default"/>
        <w:rPr>
          <w:rFonts w:ascii="GHEA Grapalat" w:hAnsi="GHEA Grapalat"/>
          <w:lang w:val="ru-RU"/>
        </w:rPr>
      </w:pPr>
    </w:p>
    <w:p w:rsidR="00A42FBD" w:rsidRDefault="00A42FBD" w:rsidP="00A42FBD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</w:t>
      </w:r>
      <w:r>
        <w:rPr>
          <w:rFonts w:ascii="GHEA Grapalat" w:hAnsi="GHEA Grapalat"/>
          <w:lang w:val="ru-RU"/>
        </w:rPr>
        <w:t>2</w:t>
      </w:r>
      <w:r w:rsidRPr="00B0220B">
        <w:rPr>
          <w:rFonts w:ascii="GHEA Grapalat" w:hAnsi="GHEA Grapalat"/>
          <w:lang w:val="ru-RU"/>
        </w:rPr>
        <w:t xml:space="preserve"> </w:t>
      </w:r>
    </w:p>
    <w:p w:rsidR="00941126" w:rsidRPr="006170AF" w:rsidRDefault="00941126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Согласно п. 10.1 части I Приглашения на открытый конкурс, обеспечения квалификации и договора предоставляются до подписания договора с отобранным участником.</w:t>
      </w:r>
    </w:p>
    <w:p w:rsidR="00941126" w:rsidRPr="006170AF" w:rsidRDefault="00941126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В тоже время, согласно п. 2.4.11 Проекта Договора (Приложение №6 к Приглашению на открытый конкурс), «после получения проекта дополнительного соглашения Продавец в течение 15-и рабочих дней со дня его получения, обязан представить обеспечения квалификации (на 30 % от цены договора) и договора (на 10% от цены договора)».</w:t>
      </w:r>
    </w:p>
    <w:p w:rsidR="00941126" w:rsidRPr="006170AF" w:rsidRDefault="00941126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Просим уточнить на каком этапе предоставляется обеспечение квалификации и обеспечение договора: до заключения договора или до заключения дополнительного соглашения к договору.</w:t>
      </w:r>
    </w:p>
    <w:p w:rsidR="00941126" w:rsidRDefault="00941126" w:rsidP="00B0220B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t xml:space="preserve">Запрос № </w:t>
      </w:r>
      <w:r>
        <w:rPr>
          <w:rFonts w:ascii="GHEA Grapalat" w:hAnsi="GHEA Grapalat"/>
        </w:rPr>
        <w:t>3</w:t>
      </w:r>
    </w:p>
    <w:p w:rsidR="00941126" w:rsidRPr="006170AF" w:rsidRDefault="00941126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Учитывая тот факт, что данная процедура осуществляется согласно п. 2 ч. 6 статьи 15 Закона РА «О закупках», просим уточнить, как положения п. 10.4 части I Приглашения на открытый конкурс будут применяться к обеспечению квалификации и договора в рамках данного открытого конкурса. А именно, в каком случае будет возможно или необходимо предоставление обеспечения квалификации и договора в виде заключенного в одностороннем порядке заявления - в виде неустойки или наличных денег, а в каком – в виде банковской/страховой гарантии?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 w:rsidR="006170AF">
        <w:rPr>
          <w:rFonts w:ascii="GHEA Grapalat" w:hAnsi="GHEA Grapalat"/>
          <w:szCs w:val="24"/>
        </w:rPr>
        <w:t xml:space="preserve">2, </w:t>
      </w:r>
      <w:r>
        <w:rPr>
          <w:rFonts w:ascii="GHEA Grapalat" w:hAnsi="GHEA Grapalat"/>
          <w:szCs w:val="24"/>
        </w:rPr>
        <w:t>3</w:t>
      </w:r>
    </w:p>
    <w:p w:rsidR="00941126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Вместе с подписанным договором отобранный участник предоставляет Заказчику обеспечение договора и обеспечение квалификации в виде неустойки (Приложения 4.2 и 5.1), а в случае выделения финансовых средств, при подписании дополнительного соглашения вместе с подписанным соглашением предоставляет (заменяет предоставленные неустойки) обеспечение договора и квалификации в виде наличных денег или гарантий.</w:t>
      </w:r>
    </w:p>
    <w:p w:rsidR="00941126" w:rsidRDefault="00941126" w:rsidP="00B0220B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</w:p>
    <w:p w:rsidR="00941126" w:rsidRDefault="00941126" w:rsidP="00941126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t xml:space="preserve">Запрос № </w:t>
      </w:r>
      <w:r>
        <w:rPr>
          <w:rFonts w:ascii="GHEA Grapalat" w:hAnsi="GHEA Grapalat"/>
        </w:rPr>
        <w:t>4</w:t>
      </w:r>
    </w:p>
    <w:p w:rsidR="00941126" w:rsidRPr="006170AF" w:rsidRDefault="00941126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В подразделе 4.4 ТТ № 380 от 09.10.20 указано, что индивидуальные регуляторы РПИБ заменяются на современные индивидуальные регуляторы. Возможно ли в тех случаях/местах, где позволяет температура, вибрация и т.д., применение других вариантов регуляторов. Например – встроенная схема управления приводом с встроенным контроллером в качестве регулирующего блока? При этом встроенная схема управления (АМ или АС) монтируется отдельно от привода?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>
        <w:rPr>
          <w:rFonts w:ascii="GHEA Grapalat" w:hAnsi="GHEA Grapalat"/>
          <w:szCs w:val="24"/>
        </w:rPr>
        <w:t>4</w:t>
      </w:r>
    </w:p>
    <w:p w:rsidR="00941126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lastRenderedPageBreak/>
        <w:t>Схема управления не может находится в приводе.</w:t>
      </w:r>
    </w:p>
    <w:p w:rsidR="00941126" w:rsidRDefault="00941126" w:rsidP="00941126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t xml:space="preserve">Запрос № </w:t>
      </w:r>
      <w:r>
        <w:rPr>
          <w:rFonts w:ascii="GHEA Grapalat" w:hAnsi="GHEA Grapalat"/>
        </w:rPr>
        <w:t>5</w:t>
      </w:r>
    </w:p>
    <w:p w:rsidR="00941126" w:rsidRPr="006170AF" w:rsidRDefault="00941126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Обязательно ли использование реверсивных блоков управления (аналог ПБР), расположенных в шкафах/РТЗО или допускается использование встроенных пускателей, интегрированных в схему привода?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>
        <w:rPr>
          <w:rFonts w:ascii="GHEA Grapalat" w:hAnsi="GHEA Grapalat"/>
          <w:szCs w:val="24"/>
        </w:rPr>
        <w:t>5</w:t>
      </w:r>
    </w:p>
    <w:p w:rsidR="00941126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Рекомендуется использовать пускатели ПБР-ЗАА.</w:t>
      </w:r>
    </w:p>
    <w:p w:rsidR="00941126" w:rsidRDefault="00941126" w:rsidP="00941126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t xml:space="preserve">Запрос № </w:t>
      </w:r>
      <w:r>
        <w:rPr>
          <w:rFonts w:ascii="GHEA Grapalat" w:hAnsi="GHEA Grapalat"/>
        </w:rPr>
        <w:t>6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В предоставленной технической документации не указаны требования к датчикам. Требуется ли наличие HART, встроенных мониторов? Выходной сигнал 4 – 20 мА?</w:t>
      </w:r>
      <w:r w:rsidRPr="006170AF">
        <w:rPr>
          <w:rFonts w:ascii="Calibri" w:hAnsi="Calibri" w:cs="Calibri"/>
          <w:szCs w:val="18"/>
          <w:lang w:val="ru-RU"/>
        </w:rPr>
        <w:t> </w:t>
      </w:r>
      <w:r w:rsidRPr="006170AF">
        <w:rPr>
          <w:rFonts w:ascii="GHEA Grapalat" w:hAnsi="GHEA Grapalat"/>
          <w:szCs w:val="18"/>
          <w:lang w:val="ru-RU"/>
        </w:rPr>
        <w:t xml:space="preserve"> Возможно ли применение датчиков с цифровым выходом (</w:t>
      </w:r>
      <w:proofErr w:type="spellStart"/>
      <w:r w:rsidRPr="006170AF">
        <w:rPr>
          <w:rFonts w:ascii="GHEA Grapalat" w:hAnsi="GHEA Grapalat"/>
          <w:szCs w:val="18"/>
          <w:lang w:val="ru-RU"/>
        </w:rPr>
        <w:t>Profibus</w:t>
      </w:r>
      <w:proofErr w:type="spellEnd"/>
      <w:r w:rsidRPr="006170AF">
        <w:rPr>
          <w:rFonts w:ascii="GHEA Grapalat" w:hAnsi="GHEA Grapalat"/>
          <w:szCs w:val="18"/>
          <w:lang w:val="ru-RU"/>
        </w:rPr>
        <w:t xml:space="preserve"> и т.д.)?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>
        <w:rPr>
          <w:rFonts w:ascii="GHEA Grapalat" w:hAnsi="GHEA Grapalat"/>
          <w:szCs w:val="24"/>
        </w:rPr>
        <w:t>6</w:t>
      </w:r>
    </w:p>
    <w:p w:rsidR="006170AF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Использовать датчики с выходным сигналом 4-20мА. </w:t>
      </w:r>
    </w:p>
    <w:p w:rsidR="00941126" w:rsidRDefault="00941126" w:rsidP="00B0220B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</w:p>
    <w:p w:rsidR="00941126" w:rsidRDefault="00941126" w:rsidP="00941126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t xml:space="preserve">Запрос № </w:t>
      </w:r>
      <w:r>
        <w:rPr>
          <w:rFonts w:ascii="GHEA Grapalat" w:hAnsi="GHEA Grapalat"/>
        </w:rPr>
        <w:t>7</w:t>
      </w:r>
    </w:p>
    <w:p w:rsidR="00941126" w:rsidRPr="006170AF" w:rsidRDefault="00941126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Требуется ли применение новых 3-х и 5-ти вентильных блоков для подключения датчиков к существующим импульсным линиям?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>
        <w:rPr>
          <w:rFonts w:ascii="GHEA Grapalat" w:hAnsi="GHEA Grapalat"/>
          <w:szCs w:val="24"/>
        </w:rPr>
        <w:t>7</w:t>
      </w:r>
    </w:p>
    <w:p w:rsidR="006170AF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Достаточно 3-х вентильных блоков. </w:t>
      </w:r>
    </w:p>
    <w:p w:rsidR="00941126" w:rsidRDefault="00941126" w:rsidP="00B0220B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</w:p>
    <w:p w:rsidR="00941126" w:rsidRDefault="00941126" w:rsidP="00941126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t xml:space="preserve">Запрос № </w:t>
      </w:r>
      <w:r>
        <w:rPr>
          <w:rFonts w:ascii="GHEA Grapalat" w:hAnsi="GHEA Grapalat"/>
        </w:rPr>
        <w:t>8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В предоставленной технической документации указано, что будут использоваться новые кабели от датчиков к регуляторам. Просим уточнить: кабели от регуляторов до шкафов с пускателями допускается оставлять старые, или также требуются новые кабели?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>
        <w:rPr>
          <w:rFonts w:ascii="GHEA Grapalat" w:hAnsi="GHEA Grapalat"/>
          <w:szCs w:val="24"/>
        </w:rPr>
        <w:t>8</w:t>
      </w:r>
    </w:p>
    <w:p w:rsidR="006170AF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Кабели от регуляторов до шкафов с пускателями можно использовать старые. </w:t>
      </w:r>
    </w:p>
    <w:p w:rsidR="00941126" w:rsidRDefault="00941126" w:rsidP="00B0220B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</w:p>
    <w:p w:rsidR="00941126" w:rsidRDefault="00941126" w:rsidP="00941126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t xml:space="preserve">Запрос № </w:t>
      </w:r>
      <w:r>
        <w:rPr>
          <w:rFonts w:ascii="GHEA Grapalat" w:hAnsi="GHEA Grapalat"/>
        </w:rPr>
        <w:t>9</w:t>
      </w:r>
      <w:bookmarkStart w:id="0" w:name="_GoBack"/>
      <w:bookmarkEnd w:id="0"/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При несовпадении отверстий для крепления существующих приводов МЭО с креплениями предлагаемых приводов, допускается ли применение адаптеров?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>
        <w:rPr>
          <w:rFonts w:ascii="GHEA Grapalat" w:hAnsi="GHEA Grapalat"/>
          <w:szCs w:val="24"/>
        </w:rPr>
        <w:t>9</w:t>
      </w:r>
    </w:p>
    <w:p w:rsidR="006170AF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 xml:space="preserve">Допускается. </w:t>
      </w:r>
    </w:p>
    <w:p w:rsidR="00941126" w:rsidRDefault="00941126" w:rsidP="00B0220B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</w:p>
    <w:p w:rsidR="00941126" w:rsidRDefault="00941126" w:rsidP="00941126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  <w:r w:rsidRPr="00B0220B">
        <w:rPr>
          <w:rFonts w:ascii="GHEA Grapalat" w:hAnsi="GHEA Grapalat"/>
        </w:rPr>
        <w:lastRenderedPageBreak/>
        <w:t xml:space="preserve">Запрос № </w:t>
      </w:r>
      <w:r>
        <w:rPr>
          <w:rFonts w:ascii="GHEA Grapalat" w:hAnsi="GHEA Grapalat"/>
        </w:rPr>
        <w:t>10</w:t>
      </w:r>
    </w:p>
    <w:p w:rsidR="00941126" w:rsidRPr="006170AF" w:rsidRDefault="00941126" w:rsidP="00941126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Просим подтвердить, что для быстродействующих клапанов БРУ и регуляторов давления (согласно ИТТ ЭПА.383) меняются только электроприводы, а клапаны остаются прежними.</w:t>
      </w:r>
    </w:p>
    <w:p w:rsidR="00941126" w:rsidRDefault="00941126" w:rsidP="0094112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№ </w:t>
      </w:r>
      <w:r>
        <w:rPr>
          <w:rFonts w:ascii="GHEA Grapalat" w:hAnsi="GHEA Grapalat"/>
          <w:szCs w:val="24"/>
        </w:rPr>
        <w:t>10</w:t>
      </w:r>
    </w:p>
    <w:p w:rsidR="00941126" w:rsidRPr="006170AF" w:rsidRDefault="006170AF" w:rsidP="006170AF">
      <w:pPr>
        <w:pStyle w:val="af4"/>
        <w:spacing w:after="160" w:line="256" w:lineRule="auto"/>
        <w:ind w:left="346"/>
        <w:jc w:val="both"/>
        <w:rPr>
          <w:rFonts w:ascii="GHEA Grapalat" w:hAnsi="GHEA Grapalat"/>
          <w:szCs w:val="18"/>
          <w:lang w:val="ru-RU"/>
        </w:rPr>
      </w:pPr>
      <w:r w:rsidRPr="006170AF">
        <w:rPr>
          <w:rFonts w:ascii="GHEA Grapalat" w:hAnsi="GHEA Grapalat"/>
          <w:szCs w:val="18"/>
          <w:lang w:val="ru-RU"/>
        </w:rPr>
        <w:t>Подтверждаем, что (согласно ИТТ ЭПА.383) меняются только электроприводы, а клапаны остаются прежними.</w:t>
      </w:r>
    </w:p>
    <w:p w:rsidR="00941126" w:rsidRDefault="00941126" w:rsidP="00B0220B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</w:rPr>
      </w:pPr>
    </w:p>
    <w:p w:rsidR="00DE4E72" w:rsidRPr="00B0220B" w:rsidRDefault="00D64FDA" w:rsidP="00B0220B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0220B">
        <w:rPr>
          <w:rFonts w:ascii="GHEA Grapalat" w:hAnsi="GHEA Grapalat"/>
          <w:spacing w:val="4"/>
          <w:szCs w:val="24"/>
        </w:rPr>
        <w:t xml:space="preserve"> закупочной процедуры </w:t>
      </w:r>
      <w:r w:rsidR="00B0220B" w:rsidRPr="00B0220B">
        <w:rPr>
          <w:rFonts w:ascii="GHEA Grapalat" w:hAnsi="GHEA Grapalat"/>
          <w:spacing w:val="4"/>
          <w:szCs w:val="24"/>
        </w:rPr>
        <w:t>под кодом HAEK-BMAPDzB-</w:t>
      </w:r>
      <w:r w:rsidR="00A42FBD">
        <w:rPr>
          <w:rFonts w:ascii="GHEA Grapalat" w:hAnsi="GHEA Grapalat"/>
          <w:spacing w:val="4"/>
          <w:szCs w:val="24"/>
        </w:rPr>
        <w:t>13</w:t>
      </w:r>
      <w:r w:rsidR="00B0220B" w:rsidRPr="00B0220B">
        <w:rPr>
          <w:rFonts w:ascii="GHEA Grapalat" w:hAnsi="GHEA Grapalat"/>
          <w:spacing w:val="4"/>
          <w:szCs w:val="24"/>
        </w:rPr>
        <w:t xml:space="preserve">/21 - </w:t>
      </w:r>
      <w:proofErr w:type="spellStart"/>
      <w:r w:rsidR="00B0220B" w:rsidRPr="00B0220B">
        <w:rPr>
          <w:rFonts w:ascii="GHEA Grapalat" w:hAnsi="GHEA Grapalat"/>
          <w:spacing w:val="4"/>
          <w:szCs w:val="24"/>
        </w:rPr>
        <w:t>Р.Рамазян</w:t>
      </w:r>
      <w:proofErr w:type="spellEnd"/>
      <w:r w:rsidR="00B0220B" w:rsidRPr="00B0220B">
        <w:rPr>
          <w:rFonts w:ascii="GHEA Grapalat" w:hAnsi="GHEA Grapalat"/>
          <w:spacing w:val="4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0220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0220B" w:rsidRPr="00F17E8A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B0220B">
        <w:rPr>
          <w:rFonts w:ascii="GHEA Grapalat" w:hAnsi="GHEA Grapalat"/>
          <w:szCs w:val="24"/>
        </w:rPr>
        <w:t xml:space="preserve"> </w:t>
      </w:r>
    </w:p>
    <w:p w:rsidR="002518F7" w:rsidRPr="00B0220B" w:rsidRDefault="00661ACB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B0220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B0220B">
        <w:rPr>
          <w:rFonts w:ascii="GHEA Grapalat" w:hAnsi="GHEA Grapalat"/>
          <w:szCs w:val="24"/>
        </w:rPr>
        <w:t>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C3" w:rsidRDefault="00DB4DC3">
      <w:r>
        <w:separator/>
      </w:r>
    </w:p>
  </w:endnote>
  <w:endnote w:type="continuationSeparator" w:id="0">
    <w:p w:rsidR="00DB4DC3" w:rsidRDefault="00DB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32A9B">
          <w:rPr>
            <w:rFonts w:ascii="GHEA Grapalat" w:hAnsi="GHEA Grapalat"/>
            <w:noProof/>
            <w:sz w:val="24"/>
            <w:szCs w:val="24"/>
          </w:rPr>
          <w:t>4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C3" w:rsidRDefault="00DB4DC3">
      <w:r>
        <w:separator/>
      </w:r>
    </w:p>
  </w:footnote>
  <w:footnote w:type="continuationSeparator" w:id="0">
    <w:p w:rsidR="00DB4DC3" w:rsidRDefault="00DB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04841"/>
    <w:multiLevelType w:val="hybridMultilevel"/>
    <w:tmpl w:val="A154934E"/>
    <w:lvl w:ilvl="0" w:tplc="87741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8603F7"/>
    <w:multiLevelType w:val="hybridMultilevel"/>
    <w:tmpl w:val="93FCA3A8"/>
    <w:lvl w:ilvl="0" w:tplc="20F842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72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231D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70AF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1993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41126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2FBD"/>
    <w:rsid w:val="00A433DD"/>
    <w:rsid w:val="00A70700"/>
    <w:rsid w:val="00A7446E"/>
    <w:rsid w:val="00A961B5"/>
    <w:rsid w:val="00AA698E"/>
    <w:rsid w:val="00AB1F7F"/>
    <w:rsid w:val="00AB2D08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7465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4DC3"/>
    <w:rsid w:val="00DB50C0"/>
    <w:rsid w:val="00DC4A38"/>
    <w:rsid w:val="00DE4E72"/>
    <w:rsid w:val="00E02629"/>
    <w:rsid w:val="00E14174"/>
    <w:rsid w:val="00E14F8A"/>
    <w:rsid w:val="00E15F93"/>
    <w:rsid w:val="00E24AA7"/>
    <w:rsid w:val="00E32A9B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  <w:style w:type="paragraph" w:styleId="af4">
    <w:name w:val="List Paragraph"/>
    <w:basedOn w:val="a"/>
    <w:uiPriority w:val="34"/>
    <w:qFormat/>
    <w:rsid w:val="00A961B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2021-02-18T14:07:00Z</cp:lastPrinted>
  <dcterms:created xsi:type="dcterms:W3CDTF">2021-07-07T13:03:00Z</dcterms:created>
  <dcterms:modified xsi:type="dcterms:W3CDTF">2021-07-07T13:14:00Z</dcterms:modified>
</cp:coreProperties>
</file>