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ОБЪЯВЛЕНИЕ</w:t>
      </w:r>
    </w:p>
    <w:p>
      <w:pPr>
        <w:spacing w:before="0" w:after="0"/>
        <w:jc w:val="center"/>
        <w:rPr>
          <w:rFonts w:ascii="GHEA Grapalat" w:hAnsi="GHEA Grapalat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 заключенном договоре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</w:p>
    <w:p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Գյումրու Երեխաների տուն ՊՈԱԿ, որը գտնվում է ք.Գյումրիում, Թամանյան 17 հասցեում,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կարիքների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համար հաց բարձր տեսակի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>
        <w:rPr>
          <w:rFonts w:ascii="GHEA Grapalat" w:hAnsi="GHEA Grapalat"/>
          <w:i/>
          <w:lang w:val="hy-AM"/>
        </w:rPr>
        <w:t>&lt;&lt;ԳԵՏ-ՄԱ-ԱՊՁԲ-2023/01&gt;&gt;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Об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щ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ественная организация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  <w:lang w:val="ru-RU"/>
        </w:rPr>
        <w:t xml:space="preserve">Гюмрийский </w:t>
      </w:r>
      <w:r>
        <w:rPr>
          <w:rFonts w:ascii="GHEA Grapalat" w:hAnsi="GHEA Grapalat" w:cs="Arial"/>
          <w:color w:val="2C2D2E"/>
          <w:sz w:val="23"/>
          <w:szCs w:val="23"/>
          <w:shd w:val="clear" w:color="auto" w:fill="FFFFFF"/>
          <w:lang w:val="ru-RU"/>
        </w:rPr>
        <w:t>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  <w:lang w:val="ru-RU"/>
        </w:rPr>
        <w:t>Детский дом</w:t>
      </w:r>
      <w:r>
        <w:rPr>
          <w:rFonts w:ascii="GHEA Grapalat" w:hAnsi="GHEA Grapalat" w:cs="Arial"/>
          <w:color w:val="2C2D2E"/>
          <w:sz w:val="23"/>
          <w:szCs w:val="23"/>
          <w:shd w:val="clear" w:color="auto" w:fill="FFFFFF"/>
          <w:lang w:val="ru-RU"/>
        </w:rPr>
        <w:t>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расположенный по адресу: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Таманяан 17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г.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Гюмри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представляет следующие документы в результате закупочной процедуры с кодом </w:t>
      </w:r>
      <w:r>
        <w:rPr>
          <w:rFonts w:ascii="GHEA Grapalat" w:hAnsi="GHEA Grapalat"/>
          <w:i/>
          <w:lang w:val="hy-AM"/>
        </w:rPr>
        <w:t>&lt;&lt;ԳԵՏ-ՄԱ-ԱՊՁԲ-2023/01&gt;&gt;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организованной для закупка </w:t>
      </w:r>
      <w:r>
        <w:rPr>
          <w:rFonts w:ascii="GHEA Grapalat" w:hAnsi="GHEA Grapalat"/>
          <w:szCs w:val="24"/>
          <w:lang w:val="ru-RU"/>
        </w:rPr>
        <w:t>«</w:t>
      </w:r>
      <w:r>
        <w:rPr>
          <w:rFonts w:ascii="GHEA Grapalat" w:hAnsi="GHEA Grapalat"/>
          <w:b/>
          <w:szCs w:val="24"/>
          <w:lang w:val="ru-RU"/>
        </w:rPr>
        <w:t>Хлеба высшего качества»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65"/>
        <w:gridCol w:w="25"/>
        <w:gridCol w:w="965"/>
        <w:gridCol w:w="10"/>
        <w:gridCol w:w="382"/>
        <w:gridCol w:w="254"/>
        <w:gridCol w:w="159"/>
        <w:gridCol w:w="49"/>
        <w:gridCol w:w="603"/>
        <w:gridCol w:w="8"/>
        <w:gridCol w:w="170"/>
        <w:gridCol w:w="447"/>
        <w:gridCol w:w="246"/>
        <w:gridCol w:w="332"/>
        <w:gridCol w:w="81"/>
        <w:gridCol w:w="191"/>
        <w:gridCol w:w="328"/>
        <w:gridCol w:w="204"/>
        <w:gridCol w:w="187"/>
        <w:gridCol w:w="154"/>
        <w:gridCol w:w="732"/>
        <w:gridCol w:w="39"/>
        <w:gridCol w:w="636"/>
        <w:gridCol w:w="208"/>
        <w:gridCol w:w="26"/>
        <w:gridCol w:w="179"/>
        <w:gridCol w:w="7"/>
        <w:gridCol w:w="35"/>
        <w:gridCol w:w="2035"/>
      </w:tblGrid>
      <w:tr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Предмет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закупки</w:t>
            </w:r>
            <w:proofErr w:type="spellEnd"/>
          </w:p>
        </w:tc>
      </w:tr>
      <w:tr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</w:tc>
        <w:tc>
          <w:tcPr>
            <w:tcW w:w="153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единица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измерения</w:t>
            </w:r>
            <w:proofErr w:type="spellEnd"/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  <w: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количество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сметная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  <w:tc>
          <w:tcPr>
            <w:tcW w:w="2693" w:type="dxa"/>
            <w:gridSpan w:val="10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краткое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описание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техническая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характеристика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7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краткое описание (техническая характеристика), предусмотренное по договору</w:t>
            </w:r>
          </w:p>
        </w:tc>
      </w:tr>
      <w:tr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38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4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 /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РА/</w:t>
            </w:r>
          </w:p>
        </w:tc>
        <w:tc>
          <w:tcPr>
            <w:tcW w:w="2693" w:type="dxa"/>
            <w:gridSpan w:val="10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  <w:tc>
          <w:tcPr>
            <w:tcW w:w="2693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2230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15811100</w:t>
            </w:r>
          </w:p>
          <w:p>
            <w:pPr>
              <w:ind w:left="346" w:hanging="180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Հաց բարձր տեսակի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կգ</w:t>
            </w:r>
          </w:p>
        </w:tc>
        <w:tc>
          <w:tcPr>
            <w:tcW w:w="6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900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324000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line="480" w:lineRule="auto"/>
              <w:ind w:left="-108" w:firstLine="0"/>
              <w:jc w:val="center"/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  <w:t>Ցորենի բարձր տեսակի ալյուրից պատրաստված։ Պիտանելիության ժամկետը՝ թխված մատակարարման օրը։ Պարտադիր պայման՝ տեղափոխումը միայն ՀՀ ՍԱՊԾ կողմից՝ տրամադրված համապատասխան թույլտվությամբ տրանսպորտային միջոցներով։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-102" w:firstLine="0"/>
              <w:jc w:val="center"/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  <w:t xml:space="preserve">Ցորենի բարձր </w:t>
            </w:r>
            <w:bookmarkStart w:id="0" w:name="_GoBack"/>
            <w:bookmarkEnd w:id="0"/>
            <w:r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  <w:t>տեսակիալյուրից պատրաստված։</w:t>
            </w:r>
          </w:p>
          <w:p>
            <w:pPr>
              <w:ind w:left="-58" w:firstLine="0"/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color w:val="FF0000"/>
                <w:sz w:val="12"/>
                <w:szCs w:val="12"/>
                <w:lang w:val="hy-AM"/>
              </w:rPr>
              <w:t>Պիտանելիության ժամկլետը՝ թխված մատակարարման օրը։ Պարտադիր պայման՝ տեղափոխումը միայն ՀՀ ՍԱՊԾ կողմից տրամադրված համապատասխան ույտվությամբ տրանսպորտային միջոցներով</w:t>
            </w:r>
          </w:p>
        </w:tc>
      </w:tr>
      <w:tr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790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Էլեկտրոնային աճուրդի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CPV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կոդերում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չէր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։Գնումների մասին օրենքի 23-րդ հոդվածի 1մասի 4-րդ կետի համապատասխան։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Отсутствует в кодах CPV электронного аукциона В соответствии со статьей 23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1-ого части 4-ого пункта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Закона о закупках.</w:t>
            </w:r>
          </w:p>
        </w:tc>
      </w:tr>
      <w:tr>
        <w:trPr>
          <w:trHeight w:val="43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-16</w:t>
            </w: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Дата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изменений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внесенных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приглашение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разъяснений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относительно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приглашения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Получения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запроса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Разъяснения</w:t>
            </w:r>
            <w:proofErr w:type="spellEnd"/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П/Н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Наименования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участников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Цена, представленная по заявке каждого участника, включая цену, представленную в результате организации </w:t>
            </w:r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lastRenderedPageBreak/>
              <w:t>одновременных переговоров /  Драмов РА</w:t>
            </w:r>
          </w:p>
        </w:tc>
      </w:tr>
      <w:tr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Цена без НДС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Всего</w:t>
            </w:r>
            <w:proofErr w:type="spellEnd"/>
          </w:p>
        </w:tc>
      </w:tr>
      <w:tr>
        <w:trPr>
          <w:trHeight w:val="83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Պարույր Արղուշյան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» Ա/Ձ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324000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324000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Данные об отклоненных заявках</w:t>
            </w: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Наименование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Результаты оценки (удовлетворительно или неудовлетворительно)</w:t>
            </w:r>
          </w:p>
        </w:tc>
      </w:tr>
      <w:t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փաստաթղթերի առկայությունը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Наличие требуемых по приглашению документов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փաստաթղթերի համապատասխանությունը հրավերով սահմանված պահանջներին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Ценовое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предложение</w:t>
            </w:r>
            <w:proofErr w:type="spellEnd"/>
          </w:p>
        </w:tc>
      </w:tr>
      <w:t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-197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Պարույր Արղուշյան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» Ա/Ձ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Համապատասխան է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324000</w:t>
            </w:r>
          </w:p>
        </w:tc>
      </w:tr>
      <w:tr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Примечание: Иные основания для отклонения заявок.</w:t>
            </w:r>
          </w:p>
        </w:tc>
      </w:tr>
      <w:tr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определения отобранного участника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2023-11-20</w:t>
            </w:r>
          </w:p>
        </w:tc>
      </w:tr>
      <w:tr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Начало периода ожидания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Окончание периода ожидания</w:t>
            </w:r>
          </w:p>
        </w:tc>
      </w:tr>
      <w:tr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-11-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-11-16</w:t>
            </w:r>
          </w:p>
        </w:tc>
      </w:tr>
      <w:tr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Дата извещения отобранного участника о предложении относительно заключения договора                                          2023-11-16</w:t>
            </w:r>
          </w:p>
        </w:tc>
      </w:tr>
      <w:tr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2022-11-16</w:t>
            </w:r>
          </w:p>
        </w:tc>
      </w:tr>
      <w:tr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заказчиком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2023-11-20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</w:t>
            </w:r>
            <w:proofErr w:type="spellEnd"/>
          </w:p>
        </w:tc>
      </w:tr>
      <w:tr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заключения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Крайний срок исполнения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Размер предоплаты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</w:t>
            </w:r>
          </w:p>
        </w:tc>
      </w:tr>
      <w:tr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Պարույր Արղուշյան Ա․Ձ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&lt;&lt;ԳԵՏ-ՄԱ-ԱՊՁԲ-2023/01&gt;&gt;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0.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11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3թ․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25.12.2023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324000</w:t>
            </w:r>
          </w:p>
        </w:tc>
      </w:tr>
      <w:tr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Наименование и адрес отобранного участника (отобранных участников)</w:t>
            </w:r>
          </w:p>
        </w:tc>
      </w:tr>
      <w:tr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УНН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серия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паспорта</w:t>
            </w:r>
          </w:p>
        </w:tc>
      </w:tr>
      <w:tr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Պարույր Արղուշյան Ա</w:t>
            </w:r>
            <w:r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ՀՀ, ք. Գյումրի, Նիզամու 17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t>aparuyr.62@list.ru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1570069882140100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57395426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մասնակիցները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անձինք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պատվիրատուին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ներկայացնել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կնքված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ընդունման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համատեղ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հրապարակվելուց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------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օրացուցային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օրվա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ընթացքում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: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ղեկավարի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է  ---------------------------: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vertAlign w:val="superscript"/>
                <w:lang w:eastAsia="ru-RU"/>
              </w:rPr>
              <w:footnoteReference w:id="8"/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----------  календарных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дней после опубликования настоящего объявления.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 письменному требованию прилагается: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оригинал доверенности, выданный физическому лицу. При этом 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а. количество уполномоченных физических лиц не может превысить двух,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б. уполномоченное физическое лицо должно лично выполнять действия, на которые уполномочено;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Официальный адрес электронной почты руководителя ответственного подразделения заказчика---------------------------.8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Другие необходимые сведения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>
        <w:trPr>
          <w:trHeight w:val="47"/>
        </w:trPr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Имя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Фамилия</w:t>
            </w:r>
            <w:proofErr w:type="spellEnd"/>
          </w:p>
        </w:tc>
        <w:tc>
          <w:tcPr>
            <w:tcW w:w="380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Телефон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почты</w:t>
            </w:r>
            <w:proofErr w:type="spellEnd"/>
          </w:p>
        </w:tc>
      </w:tr>
      <w:tr>
        <w:trPr>
          <w:trHeight w:val="47"/>
        </w:trPr>
        <w:tc>
          <w:tcPr>
            <w:tcW w:w="3510" w:type="dxa"/>
            <w:gridSpan w:val="8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․ Մանուկյան</w:t>
            </w:r>
          </w:p>
        </w:tc>
        <w:tc>
          <w:tcPr>
            <w:tcW w:w="3805" w:type="dxa"/>
            <w:gridSpan w:val="17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077870712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t>&lt;mss.home@mail.ru&gt;</w:t>
            </w:r>
          </w:p>
        </w:tc>
      </w:tr>
    </w:tbl>
    <w:p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>
      <w:pgSz w:w="11907" w:h="16840" w:code="9"/>
      <w:pgMar w:top="810" w:right="567" w:bottom="284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FootnoteText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4C590-AF74-4AB1-BD71-EEB2F59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87E7-3E66-42B9-B6FB-B45F213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Mariam.Galtagazyan</cp:lastModifiedBy>
  <cp:revision>6</cp:revision>
  <cp:lastPrinted>2021-12-17T10:05:00Z</cp:lastPrinted>
  <dcterms:created xsi:type="dcterms:W3CDTF">2023-11-20T12:43:00Z</dcterms:created>
  <dcterms:modified xsi:type="dcterms:W3CDTF">2023-11-21T07:40:00Z</dcterms:modified>
</cp:coreProperties>
</file>