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E7A905A" w:rsidR="0022631D" w:rsidRPr="00A22314" w:rsidRDefault="0022631D" w:rsidP="00A22314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724E279F" w:rsidR="0022631D" w:rsidRPr="006D1B63" w:rsidRDefault="00B05080" w:rsidP="008F18B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Arial Unicode" w:eastAsia="Times New Roman" w:hAnsi="Arial Unicode" w:cs="Sylfaen"/>
          <w:sz w:val="20"/>
          <w:szCs w:val="20"/>
          <w:lang w:val="af-ZA" w:eastAsia="ru-RU"/>
        </w:rPr>
        <w:t>«</w:t>
      </w:r>
      <w:r w:rsidR="00C93439" w:rsidRPr="00B83F2C">
        <w:rPr>
          <w:rFonts w:ascii="GHEA Grapalat" w:eastAsia="Times New Roman" w:hAnsi="GHEA Grapalat" w:cs="Sylfaen"/>
          <w:sz w:val="20"/>
          <w:szCs w:val="20"/>
          <w:lang w:val="af-ZA" w:eastAsia="ru-RU"/>
        </w:rPr>
        <w:t>Ա.Բ</w:t>
      </w:r>
      <w:r w:rsidR="00C9343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.Նալբանդյանի անվան քիմիական ֆիզիկայի ինստիտուտ</w:t>
      </w:r>
      <w:r>
        <w:rPr>
          <w:rFonts w:ascii="Arial Unicode" w:eastAsia="Times New Roman" w:hAnsi="Arial Unicode" w:cs="Sylfaen"/>
          <w:sz w:val="20"/>
          <w:szCs w:val="20"/>
          <w:lang w:val="af-ZA" w:eastAsia="ru-RU"/>
        </w:rPr>
        <w:t>»</w:t>
      </w:r>
      <w:r w:rsidR="008F18BE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որը գտնվում է                        </w:t>
      </w:r>
      <w:r w:rsidR="008F18BE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ք.Երևան, </w:t>
      </w:r>
      <w:r w:rsidR="00C9343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Պ.Սևակի 5/2</w:t>
      </w:r>
      <w:r w:rsidR="008F18BE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հասցեում, ստորև ներկայացնում է իր</w:t>
      </w:r>
      <w:r w:rsidR="008F18BE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</w:t>
      </w:r>
      <w:r w:rsidR="0022631D"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ի </w:t>
      </w:r>
      <w:r w:rsidR="0022631D" w:rsidRPr="0064437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B83F2C" w:rsidRPr="006443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90707">
        <w:rPr>
          <w:rFonts w:ascii="GHEA Grapalat" w:hAnsi="GHEA Grapalat"/>
          <w:b/>
          <w:bCs/>
          <w:sz w:val="20"/>
          <w:szCs w:val="20"/>
        </w:rPr>
        <w:t>ապրանքի</w:t>
      </w:r>
      <w:r w:rsidR="00C90707" w:rsidRPr="00C90707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C90707">
        <w:rPr>
          <w:rFonts w:ascii="GHEA Grapalat" w:hAnsi="GHEA Grapalat"/>
          <w:b/>
          <w:bCs/>
          <w:sz w:val="20"/>
          <w:szCs w:val="20"/>
          <w:lang w:val="af-ZA"/>
        </w:rPr>
        <w:t>ձեռքբերման</w:t>
      </w:r>
      <w:r w:rsidR="00F25381" w:rsidRPr="003B6695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3B60DB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 </w:t>
      </w:r>
      <w:r w:rsidR="00C93439"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ՔՖԻ</w:t>
      </w:r>
      <w:r w:rsidR="008F18BE"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-ԳՀԱՊՁԲ-</w:t>
      </w:r>
      <w:r w:rsidR="008C7C1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26/</w:t>
      </w:r>
      <w:r w:rsidR="00A83E96" w:rsidRPr="00A83E9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="00AA493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4</w:t>
      </w:r>
      <w:r w:rsidR="004A5BA5" w:rsidRPr="004A5BA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4F734F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p w14:paraId="3F2A9659" w14:textId="77777777" w:rsidR="0022631D" w:rsidRPr="006D1B63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774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38"/>
        <w:gridCol w:w="329"/>
        <w:gridCol w:w="709"/>
        <w:gridCol w:w="392"/>
        <w:gridCol w:w="317"/>
        <w:gridCol w:w="629"/>
        <w:gridCol w:w="79"/>
        <w:gridCol w:w="284"/>
        <w:gridCol w:w="142"/>
        <w:gridCol w:w="62"/>
        <w:gridCol w:w="596"/>
        <w:gridCol w:w="50"/>
        <w:gridCol w:w="567"/>
        <w:gridCol w:w="709"/>
        <w:gridCol w:w="58"/>
        <w:gridCol w:w="368"/>
        <w:gridCol w:w="54"/>
        <w:gridCol w:w="229"/>
        <w:gridCol w:w="579"/>
        <w:gridCol w:w="271"/>
        <w:gridCol w:w="71"/>
        <w:gridCol w:w="780"/>
        <w:gridCol w:w="42"/>
        <w:gridCol w:w="100"/>
        <w:gridCol w:w="522"/>
        <w:gridCol w:w="8"/>
        <w:gridCol w:w="7"/>
        <w:gridCol w:w="455"/>
        <w:gridCol w:w="425"/>
        <w:gridCol w:w="1135"/>
      </w:tblGrid>
      <w:tr w:rsidR="00F72429" w:rsidRPr="00C90707" w14:paraId="3BCB0F4A" w14:textId="77777777" w:rsidTr="00930AC2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14:paraId="5FD69F2F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07" w:type="dxa"/>
            <w:gridSpan w:val="30"/>
            <w:shd w:val="clear" w:color="auto" w:fill="auto"/>
            <w:vAlign w:val="center"/>
          </w:tcPr>
          <w:p w14:paraId="47A5B985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F72429" w:rsidRPr="00C90707" w14:paraId="796D388F" w14:textId="77777777" w:rsidTr="00930AC2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781659E7" w14:textId="0F13217F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 համարը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 միավորը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59F68B85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62535C49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552" w:type="dxa"/>
            <w:gridSpan w:val="10"/>
            <w:vMerge w:val="restart"/>
            <w:shd w:val="clear" w:color="auto" w:fill="auto"/>
            <w:vAlign w:val="center"/>
          </w:tcPr>
          <w:p w14:paraId="330836BC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552" w:type="dxa"/>
            <w:gridSpan w:val="6"/>
            <w:vMerge w:val="restart"/>
            <w:shd w:val="clear" w:color="auto" w:fill="auto"/>
            <w:vAlign w:val="center"/>
          </w:tcPr>
          <w:p w14:paraId="5D289872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F72429" w:rsidRPr="00C90707" w14:paraId="02BE1D52" w14:textId="77777777" w:rsidTr="00930AC2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14:paraId="6E1FBC69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528BE8BA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5C6C06A7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26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01CC38D9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552" w:type="dxa"/>
            <w:gridSpan w:val="10"/>
            <w:vMerge/>
            <w:shd w:val="clear" w:color="auto" w:fill="auto"/>
          </w:tcPr>
          <w:p w14:paraId="12AD9841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vMerge/>
            <w:shd w:val="clear" w:color="auto" w:fill="auto"/>
          </w:tcPr>
          <w:p w14:paraId="28B6AAAB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72429" w:rsidRPr="00C90707" w14:paraId="688F77C8" w14:textId="77777777" w:rsidTr="00930AC2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255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A4939" w:rsidRPr="00AA4939" w14:paraId="1A252BDB" w14:textId="77777777" w:rsidTr="007A46B0">
        <w:trPr>
          <w:trHeight w:val="60"/>
        </w:trPr>
        <w:tc>
          <w:tcPr>
            <w:tcW w:w="567" w:type="dxa"/>
            <w:shd w:val="clear" w:color="auto" w:fill="auto"/>
            <w:vAlign w:val="center"/>
          </w:tcPr>
          <w:p w14:paraId="11495F61" w14:textId="0F74ACC0" w:rsidR="00AA4939" w:rsidRPr="00452706" w:rsidRDefault="00AA4939" w:rsidP="00AA4939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452706"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6DCCCC0" w14:textId="6033C498" w:rsidR="00AA4939" w:rsidRPr="00452706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A34D4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Մագնիսական խառնիչ/ տաքացուցիչով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1FA7CAA7" w14:textId="50E86755" w:rsidR="00AA4939" w:rsidRPr="00DF28DB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3162789" w14:textId="21C3F4BF" w:rsidR="00AA4939" w:rsidRPr="00452706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03F77576" w14:textId="65A53FAC" w:rsidR="00AA4939" w:rsidRPr="00452706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14:paraId="4761D64F" w14:textId="6ADDF8FE" w:rsidR="00AA4939" w:rsidRPr="00DF28DB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F676624" w14:textId="2D5A0B80" w:rsidR="00AA4939" w:rsidRPr="00452706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9839D3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1300000</w:t>
            </w:r>
          </w:p>
        </w:tc>
        <w:tc>
          <w:tcPr>
            <w:tcW w:w="255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3380300" w14:textId="77777777" w:rsidR="00AA4939" w:rsidRPr="00AA4939" w:rsidRDefault="00AA4939" w:rsidP="00AA4939">
            <w:pPr>
              <w:ind w:left="0" w:right="12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AA493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Մագնիսական խառնիչ/ տաքացուցիչով կերամիկական ապակյա հարթակով  և ջերմաչափի կցորդով։ Թվային ջերմաստիճանի կարգավորմամբ PT 100 զոնդի միջոցով; ընդհանուր կառուցվածքը մետաղական՝ պատված հատուկ հակաթթվայնի էպօքսիդային փոշեներկով;թվային պտտման արագության կարգավորիչ DC </w:t>
            </w:r>
          </w:p>
          <w:p w14:paraId="06D7E262" w14:textId="77777777" w:rsidR="00AA4939" w:rsidRPr="00AA4939" w:rsidRDefault="00AA4939" w:rsidP="00AA4939">
            <w:pPr>
              <w:pStyle w:val="a6"/>
              <w:numPr>
                <w:ilvl w:val="0"/>
                <w:numId w:val="17"/>
              </w:numPr>
              <w:spacing w:before="0" w:after="0"/>
              <w:ind w:left="169" w:hanging="141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A4939">
              <w:rPr>
                <w:rFonts w:ascii="GHEA Grapalat" w:hAnsi="GHEA Grapalat"/>
                <w:sz w:val="14"/>
                <w:szCs w:val="14"/>
                <w:lang w:val="hy-AM"/>
              </w:rPr>
              <w:t>Սալիկի չափը (Plate Type) – 180 × 180 մմ</w:t>
            </w:r>
          </w:p>
          <w:p w14:paraId="231472BD" w14:textId="77777777" w:rsidR="00AA4939" w:rsidRPr="00AA4939" w:rsidRDefault="00AA4939" w:rsidP="00AA4939">
            <w:pPr>
              <w:pStyle w:val="a6"/>
              <w:numPr>
                <w:ilvl w:val="0"/>
                <w:numId w:val="17"/>
              </w:numPr>
              <w:spacing w:before="0" w:after="0"/>
              <w:ind w:left="169" w:hanging="141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A4939">
              <w:rPr>
                <w:rFonts w:ascii="GHEA Grapalat" w:hAnsi="GHEA Grapalat"/>
                <w:sz w:val="14"/>
                <w:szCs w:val="14"/>
                <w:lang w:val="hy-AM"/>
              </w:rPr>
              <w:t>Նյութ</w:t>
            </w:r>
          </w:p>
          <w:p w14:paraId="62828BC8" w14:textId="77777777" w:rsidR="00AA4939" w:rsidRPr="00AA4939" w:rsidRDefault="00AA4939" w:rsidP="00AA4939">
            <w:pPr>
              <w:pStyle w:val="a6"/>
              <w:numPr>
                <w:ilvl w:val="0"/>
                <w:numId w:val="18"/>
              </w:numPr>
              <w:spacing w:before="0" w:after="0"/>
              <w:ind w:left="169" w:hanging="141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A4939">
              <w:rPr>
                <w:rFonts w:ascii="GHEA Grapalat" w:hAnsi="GHEA Grapalat"/>
                <w:sz w:val="14"/>
                <w:szCs w:val="14"/>
                <w:lang w:val="hy-AM"/>
              </w:rPr>
              <w:t>Մարմին – փոշեներկված ալյումին</w:t>
            </w:r>
          </w:p>
          <w:p w14:paraId="453970AA" w14:textId="77777777" w:rsidR="00AA4939" w:rsidRPr="00AA4939" w:rsidRDefault="00AA4939" w:rsidP="00AA4939">
            <w:pPr>
              <w:pStyle w:val="a6"/>
              <w:numPr>
                <w:ilvl w:val="0"/>
                <w:numId w:val="18"/>
              </w:numPr>
              <w:spacing w:before="0" w:after="0"/>
              <w:ind w:left="169" w:hanging="141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A4939">
              <w:rPr>
                <w:rFonts w:ascii="GHEA Grapalat" w:hAnsi="GHEA Grapalat"/>
                <w:sz w:val="14"/>
                <w:szCs w:val="14"/>
                <w:lang w:val="hy-AM"/>
              </w:rPr>
              <w:t>Սալիկ – կերամիկական ծածկույթով ալյումին (քիմիական / թթվակայուն, հեշտ մաքրվող)</w:t>
            </w:r>
          </w:p>
          <w:p w14:paraId="47A41102" w14:textId="77777777" w:rsidR="00AA4939" w:rsidRPr="00AA4939" w:rsidRDefault="00AA4939" w:rsidP="00AA4939">
            <w:pPr>
              <w:pStyle w:val="a6"/>
              <w:numPr>
                <w:ilvl w:val="0"/>
                <w:numId w:val="17"/>
              </w:numPr>
              <w:spacing w:before="0" w:after="0"/>
              <w:ind w:left="169" w:hanging="141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A4939">
              <w:rPr>
                <w:rFonts w:ascii="GHEA Grapalat" w:hAnsi="GHEA Grapalat"/>
                <w:sz w:val="14"/>
                <w:szCs w:val="14"/>
                <w:lang w:val="hy-AM"/>
              </w:rPr>
              <w:t>Խառնման տարողունակություն և շարժիչի հզորություն – առավելագույնը 20 լ, 9/4 Վտ</w:t>
            </w:r>
          </w:p>
          <w:p w14:paraId="7C2D5F1A" w14:textId="77777777" w:rsidR="00AA4939" w:rsidRPr="00AA4939" w:rsidRDefault="00AA4939" w:rsidP="00AA4939">
            <w:pPr>
              <w:pStyle w:val="a6"/>
              <w:numPr>
                <w:ilvl w:val="0"/>
                <w:numId w:val="17"/>
              </w:numPr>
              <w:spacing w:before="0" w:after="0"/>
              <w:ind w:left="169" w:hanging="141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A4939">
              <w:rPr>
                <w:rFonts w:ascii="GHEA Grapalat" w:hAnsi="GHEA Grapalat"/>
                <w:sz w:val="14"/>
                <w:szCs w:val="14"/>
                <w:lang w:val="hy-AM"/>
              </w:rPr>
              <w:t>Արագություն և կարգավորման ճշգրտություն – 80 ~ 1,500 պտ/րոպե, 5 պտ/րոպե կարգավորման քայլ</w:t>
            </w:r>
          </w:p>
          <w:p w14:paraId="73A65F6E" w14:textId="77777777" w:rsidR="00AA4939" w:rsidRPr="00AA4939" w:rsidRDefault="00AA4939" w:rsidP="00AA4939">
            <w:pPr>
              <w:pStyle w:val="a6"/>
              <w:numPr>
                <w:ilvl w:val="0"/>
                <w:numId w:val="17"/>
              </w:numPr>
              <w:spacing w:before="0" w:after="0"/>
              <w:ind w:left="169" w:hanging="141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A4939">
              <w:rPr>
                <w:rFonts w:ascii="GHEA Grapalat" w:hAnsi="GHEA Grapalat"/>
                <w:sz w:val="14"/>
                <w:szCs w:val="14"/>
                <w:lang w:val="hy-AM"/>
              </w:rPr>
              <w:t>Ջերմաստիճանի միջակայք և ճշգրտություն – առավելագույնը 380 °C, ±0.3 °C սահմանված ջերմաստիճանում</w:t>
            </w:r>
          </w:p>
          <w:p w14:paraId="50A7E9E2" w14:textId="77777777" w:rsidR="00AA4939" w:rsidRPr="00AA4939" w:rsidRDefault="00AA4939" w:rsidP="00AA4939">
            <w:pPr>
              <w:pStyle w:val="a6"/>
              <w:numPr>
                <w:ilvl w:val="0"/>
                <w:numId w:val="17"/>
              </w:numPr>
              <w:spacing w:before="0" w:after="0"/>
              <w:ind w:left="169" w:hanging="141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A4939">
              <w:rPr>
                <w:rFonts w:ascii="GHEA Grapalat" w:hAnsi="GHEA Grapalat"/>
                <w:sz w:val="14"/>
                <w:szCs w:val="14"/>
                <w:lang w:val="hy-AM"/>
              </w:rPr>
              <w:t>Resolution – 0.1 °C (ցուցադրում), 0.5 °C (կարգավորում)</w:t>
            </w:r>
          </w:p>
          <w:p w14:paraId="54C464BB" w14:textId="77777777" w:rsidR="00AA4939" w:rsidRPr="00AA4939" w:rsidRDefault="00AA4939" w:rsidP="00AA4939">
            <w:pPr>
              <w:pStyle w:val="a6"/>
              <w:numPr>
                <w:ilvl w:val="0"/>
                <w:numId w:val="17"/>
              </w:numPr>
              <w:spacing w:before="0" w:after="0"/>
              <w:ind w:left="169" w:hanging="141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A4939">
              <w:rPr>
                <w:rFonts w:ascii="GHEA Grapalat" w:hAnsi="GHEA Grapalat"/>
                <w:sz w:val="14"/>
                <w:szCs w:val="14"/>
                <w:lang w:val="hy-AM"/>
              </w:rPr>
              <w:t>Ջերմաստիճանի համասեռություն – հատուկ նախագծված տաքացման մոդուլ</w:t>
            </w:r>
            <w:r w:rsidRPr="00AA4939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AA4939">
              <w:rPr>
                <w:rFonts w:ascii="GHEA Grapalat" w:hAnsi="GHEA Grapalat"/>
                <w:sz w:val="14"/>
                <w:szCs w:val="14"/>
                <w:lang w:val="hy-AM"/>
              </w:rPr>
              <w:t xml:space="preserve"> ջերմաստիճանային տարբերությունը 10%-ով պակաս</w:t>
            </w:r>
          </w:p>
          <w:p w14:paraId="0D594DC7" w14:textId="77777777" w:rsidR="00AA4939" w:rsidRPr="00AA4939" w:rsidRDefault="00AA4939" w:rsidP="00AA4939">
            <w:pPr>
              <w:pStyle w:val="a6"/>
              <w:numPr>
                <w:ilvl w:val="0"/>
                <w:numId w:val="17"/>
              </w:numPr>
              <w:spacing w:before="0" w:after="0"/>
              <w:ind w:left="169" w:hanging="141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A4939">
              <w:rPr>
                <w:rFonts w:ascii="GHEA Grapalat" w:hAnsi="GHEA Grapalat"/>
                <w:sz w:val="14"/>
                <w:szCs w:val="14"/>
                <w:lang w:val="hy-AM"/>
              </w:rPr>
              <w:t>Տաքացման հզորություն / սպառում – 600 Վտ</w:t>
            </w:r>
          </w:p>
          <w:p w14:paraId="360977BA" w14:textId="77777777" w:rsidR="00AA4939" w:rsidRPr="00AA4939" w:rsidRDefault="00AA4939" w:rsidP="00AA4939">
            <w:pPr>
              <w:pStyle w:val="a6"/>
              <w:numPr>
                <w:ilvl w:val="0"/>
                <w:numId w:val="17"/>
              </w:numPr>
              <w:spacing w:before="0" w:after="0"/>
              <w:ind w:left="169" w:hanging="141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A4939">
              <w:rPr>
                <w:rFonts w:ascii="GHEA Grapalat" w:hAnsi="GHEA Grapalat"/>
                <w:sz w:val="14"/>
                <w:szCs w:val="14"/>
                <w:lang w:val="hy-AM"/>
              </w:rPr>
              <w:t>Ժամաչափ և ազդանշան – 99 ժ 59 րոպե (անընդհատ աշխատանքի հնարավորությամբ) – սխալի վիճակի և ժամանակաչափի ավարտի ազդանշան</w:t>
            </w:r>
          </w:p>
          <w:p w14:paraId="2442E966" w14:textId="77777777" w:rsidR="00AA4939" w:rsidRPr="00AA4939" w:rsidRDefault="00AA4939" w:rsidP="00AA4939">
            <w:pPr>
              <w:pStyle w:val="a6"/>
              <w:numPr>
                <w:ilvl w:val="0"/>
                <w:numId w:val="17"/>
              </w:numPr>
              <w:spacing w:before="0" w:after="0"/>
              <w:ind w:left="169" w:hanging="141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A4939">
              <w:rPr>
                <w:rFonts w:ascii="GHEA Grapalat" w:hAnsi="GHEA Grapalat"/>
                <w:sz w:val="14"/>
                <w:szCs w:val="14"/>
                <w:lang w:val="hy-AM"/>
              </w:rPr>
              <w:t>Ցուցադրման համակարգ – թվային LCD էկրան՝ հետին լուսավորմամբ</w:t>
            </w:r>
          </w:p>
          <w:p w14:paraId="3600A4D4" w14:textId="77777777" w:rsidR="00AA4939" w:rsidRPr="00AA4939" w:rsidRDefault="00AA4939" w:rsidP="00AA4939">
            <w:pPr>
              <w:pStyle w:val="a6"/>
              <w:numPr>
                <w:ilvl w:val="0"/>
                <w:numId w:val="17"/>
              </w:numPr>
              <w:spacing w:before="0" w:after="0"/>
              <w:ind w:left="169" w:hanging="141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A4939">
              <w:rPr>
                <w:rFonts w:ascii="GHEA Grapalat" w:hAnsi="GHEA Grapalat"/>
                <w:sz w:val="14"/>
                <w:szCs w:val="14"/>
                <w:lang w:val="hy-AM"/>
              </w:rPr>
              <w:t>Կառավարում – թվային հետադարձ կապով վերահսկիչ՝ պտտվող կարգավորիչ կոճակով (պտտել + սեղմել)</w:t>
            </w:r>
          </w:p>
          <w:p w14:paraId="51C02A63" w14:textId="77777777" w:rsidR="00AA4939" w:rsidRPr="00AA4939" w:rsidRDefault="00AA4939" w:rsidP="00AA4939">
            <w:pPr>
              <w:pStyle w:val="a6"/>
              <w:numPr>
                <w:ilvl w:val="0"/>
                <w:numId w:val="17"/>
              </w:numPr>
              <w:spacing w:before="0" w:after="0"/>
              <w:ind w:left="169" w:hanging="141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A4939">
              <w:rPr>
                <w:rFonts w:ascii="GHEA Grapalat" w:hAnsi="GHEA Grapalat"/>
                <w:sz w:val="14"/>
                <w:szCs w:val="14"/>
                <w:lang w:val="hy-AM"/>
              </w:rPr>
              <w:t>Խառնիչ ձողիկ – ներառված է 3 սմ ձողիկ, կիրառելի՝ մինչև 5 սմ ձողիկ</w:t>
            </w:r>
          </w:p>
          <w:p w14:paraId="5426FBD8" w14:textId="77777777" w:rsidR="00AA4939" w:rsidRPr="00AA4939" w:rsidRDefault="00AA4939" w:rsidP="00AA4939">
            <w:pPr>
              <w:pStyle w:val="a6"/>
              <w:numPr>
                <w:ilvl w:val="0"/>
                <w:numId w:val="17"/>
              </w:numPr>
              <w:spacing w:before="0" w:after="0"/>
              <w:ind w:left="169" w:hanging="141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A4939">
              <w:rPr>
                <w:rFonts w:ascii="GHEA Grapalat" w:hAnsi="GHEA Grapalat"/>
                <w:sz w:val="14"/>
                <w:szCs w:val="14"/>
                <w:lang w:val="hy-AM"/>
              </w:rPr>
              <w:t xml:space="preserve">Անվտանգության համակարգ – </w:t>
            </w:r>
            <w:r w:rsidRPr="00AA4939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գերտաքացման պաշտպանություն</w:t>
            </w:r>
          </w:p>
          <w:p w14:paraId="76986C2D" w14:textId="77777777" w:rsidR="00AA4939" w:rsidRPr="00AA4939" w:rsidRDefault="00AA4939" w:rsidP="00AA4939">
            <w:pPr>
              <w:pStyle w:val="a6"/>
              <w:numPr>
                <w:ilvl w:val="0"/>
                <w:numId w:val="17"/>
              </w:numPr>
              <w:spacing w:before="0" w:after="0"/>
              <w:ind w:left="169" w:hanging="141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A4939">
              <w:rPr>
                <w:rFonts w:ascii="GHEA Grapalat" w:hAnsi="GHEA Grapalat"/>
                <w:sz w:val="14"/>
                <w:szCs w:val="14"/>
                <w:lang w:val="hy-AM"/>
              </w:rPr>
              <w:t>Թույլատրելի ջերմաստիճան և հարաբերական խոնավություն – շրջակա միջավայրի +5 ~ 50 °C, 85% RH</w:t>
            </w:r>
          </w:p>
          <w:p w14:paraId="507AEAF7" w14:textId="77777777" w:rsidR="00AA4939" w:rsidRPr="00AA4939" w:rsidRDefault="00AA4939" w:rsidP="00AA4939">
            <w:pPr>
              <w:pStyle w:val="a6"/>
              <w:numPr>
                <w:ilvl w:val="0"/>
                <w:numId w:val="17"/>
              </w:numPr>
              <w:spacing w:before="0" w:after="0"/>
              <w:ind w:left="169" w:hanging="141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A4939">
              <w:rPr>
                <w:rFonts w:ascii="GHEA Grapalat" w:hAnsi="GHEA Grapalat"/>
                <w:sz w:val="14"/>
                <w:szCs w:val="14"/>
                <w:lang w:val="hy-AM"/>
              </w:rPr>
              <w:t>Չափսեր (Ե × Լ × Բ) – 206 × 307 × 99 մմ</w:t>
            </w:r>
          </w:p>
          <w:p w14:paraId="0CC62848" w14:textId="2CF12688" w:rsidR="00AA4939" w:rsidRPr="00AA4939" w:rsidRDefault="00AA4939" w:rsidP="00AA4939">
            <w:pPr>
              <w:pStyle w:val="a6"/>
              <w:numPr>
                <w:ilvl w:val="0"/>
                <w:numId w:val="17"/>
              </w:numPr>
              <w:spacing w:before="0" w:after="0"/>
              <w:ind w:left="169" w:hanging="141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A4939">
              <w:rPr>
                <w:rFonts w:ascii="GHEA Grapalat" w:hAnsi="GHEA Grapalat"/>
                <w:sz w:val="14"/>
                <w:szCs w:val="14"/>
                <w:lang w:val="hy-AM"/>
              </w:rPr>
              <w:t>Էլեկտրասնուցում և լար/խրոցակ – 1 ֆազ, AC 120 Վ, 60 Հց կամ AC 230 Վ, 50/60 Հց</w:t>
            </w:r>
            <w:r w:rsidRPr="00AA4939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55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91AAB12" w14:textId="77777777" w:rsidR="00AA4939" w:rsidRPr="00AA4939" w:rsidRDefault="00AA4939" w:rsidP="00AA4939">
            <w:pPr>
              <w:ind w:left="0" w:right="12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AA4939">
              <w:rPr>
                <w:rFonts w:ascii="GHEA Grapalat" w:hAnsi="GHEA Grapalat"/>
                <w:bCs/>
                <w:sz w:val="14"/>
                <w:szCs w:val="14"/>
                <w:lang w:val="hy-AM"/>
              </w:rPr>
              <w:lastRenderedPageBreak/>
              <w:t xml:space="preserve">Մագնիսական խառնիչ/ տաքացուցիչով կերամիկական ապակյա հարթակով  և ջերմաչափի կցորդով։ Թվային ջերմաստիճանի կարգավորմամբ PT 100 զոնդի միջոցով; ընդհանուր կառուցվածքը մետաղական՝ պատված հատուկ հակաթթվայնի էպօքսիդային փոշեներկով;թվային պտտման արագության կարգավորիչ DC </w:t>
            </w:r>
          </w:p>
          <w:p w14:paraId="4F21B664" w14:textId="77777777" w:rsidR="00AA4939" w:rsidRPr="00AA4939" w:rsidRDefault="00AA4939" w:rsidP="00AA4939">
            <w:pPr>
              <w:pStyle w:val="a6"/>
              <w:numPr>
                <w:ilvl w:val="0"/>
                <w:numId w:val="17"/>
              </w:numPr>
              <w:spacing w:before="0" w:after="0"/>
              <w:ind w:left="169" w:hanging="141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A4939">
              <w:rPr>
                <w:rFonts w:ascii="GHEA Grapalat" w:hAnsi="GHEA Grapalat"/>
                <w:sz w:val="14"/>
                <w:szCs w:val="14"/>
                <w:lang w:val="hy-AM"/>
              </w:rPr>
              <w:t>Սալիկի չափը (Plate Type) – 180 × 180 մմ</w:t>
            </w:r>
          </w:p>
          <w:p w14:paraId="5B5F06E6" w14:textId="77777777" w:rsidR="00AA4939" w:rsidRPr="00AA4939" w:rsidRDefault="00AA4939" w:rsidP="00AA4939">
            <w:pPr>
              <w:pStyle w:val="a6"/>
              <w:numPr>
                <w:ilvl w:val="0"/>
                <w:numId w:val="17"/>
              </w:numPr>
              <w:spacing w:before="0" w:after="0"/>
              <w:ind w:left="169" w:hanging="141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A4939">
              <w:rPr>
                <w:rFonts w:ascii="GHEA Grapalat" w:hAnsi="GHEA Grapalat"/>
                <w:sz w:val="14"/>
                <w:szCs w:val="14"/>
                <w:lang w:val="hy-AM"/>
              </w:rPr>
              <w:t>Նյութ</w:t>
            </w:r>
          </w:p>
          <w:p w14:paraId="679886F6" w14:textId="77777777" w:rsidR="00AA4939" w:rsidRPr="00AA4939" w:rsidRDefault="00AA4939" w:rsidP="00AA4939">
            <w:pPr>
              <w:pStyle w:val="a6"/>
              <w:numPr>
                <w:ilvl w:val="0"/>
                <w:numId w:val="18"/>
              </w:numPr>
              <w:spacing w:before="0" w:after="0"/>
              <w:ind w:left="169" w:hanging="141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A4939">
              <w:rPr>
                <w:rFonts w:ascii="GHEA Grapalat" w:hAnsi="GHEA Grapalat"/>
                <w:sz w:val="14"/>
                <w:szCs w:val="14"/>
                <w:lang w:val="hy-AM"/>
              </w:rPr>
              <w:t>Մարմին – փոշեներկված ալյումին</w:t>
            </w:r>
          </w:p>
          <w:p w14:paraId="617E6A4D" w14:textId="77777777" w:rsidR="00AA4939" w:rsidRPr="00AA4939" w:rsidRDefault="00AA4939" w:rsidP="00AA4939">
            <w:pPr>
              <w:pStyle w:val="a6"/>
              <w:numPr>
                <w:ilvl w:val="0"/>
                <w:numId w:val="18"/>
              </w:numPr>
              <w:spacing w:before="0" w:after="0"/>
              <w:ind w:left="169" w:hanging="141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A4939">
              <w:rPr>
                <w:rFonts w:ascii="GHEA Grapalat" w:hAnsi="GHEA Grapalat"/>
                <w:sz w:val="14"/>
                <w:szCs w:val="14"/>
                <w:lang w:val="hy-AM"/>
              </w:rPr>
              <w:t>Սալիկ – կերամիկական ծածկույթով ալյումին (քիմիական / թթվակայուն, հեշտ մաքրվող)</w:t>
            </w:r>
          </w:p>
          <w:p w14:paraId="49C0EB22" w14:textId="77777777" w:rsidR="00AA4939" w:rsidRPr="00AA4939" w:rsidRDefault="00AA4939" w:rsidP="00AA4939">
            <w:pPr>
              <w:pStyle w:val="a6"/>
              <w:numPr>
                <w:ilvl w:val="0"/>
                <w:numId w:val="17"/>
              </w:numPr>
              <w:spacing w:before="0" w:after="0"/>
              <w:ind w:left="169" w:hanging="141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A4939">
              <w:rPr>
                <w:rFonts w:ascii="GHEA Grapalat" w:hAnsi="GHEA Grapalat"/>
                <w:sz w:val="14"/>
                <w:szCs w:val="14"/>
                <w:lang w:val="hy-AM"/>
              </w:rPr>
              <w:t>Խառնման տարողունակություն և շարժիչի հզորություն – առավելագույնը 20 լ, 9/4 Վտ</w:t>
            </w:r>
          </w:p>
          <w:p w14:paraId="0909450E" w14:textId="77777777" w:rsidR="00AA4939" w:rsidRPr="00AA4939" w:rsidRDefault="00AA4939" w:rsidP="00AA4939">
            <w:pPr>
              <w:pStyle w:val="a6"/>
              <w:numPr>
                <w:ilvl w:val="0"/>
                <w:numId w:val="17"/>
              </w:numPr>
              <w:spacing w:before="0" w:after="0"/>
              <w:ind w:left="169" w:hanging="141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A4939">
              <w:rPr>
                <w:rFonts w:ascii="GHEA Grapalat" w:hAnsi="GHEA Grapalat"/>
                <w:sz w:val="14"/>
                <w:szCs w:val="14"/>
                <w:lang w:val="hy-AM"/>
              </w:rPr>
              <w:t>Արագություն և կարգավորման ճշգրտություն – 80 ~ 1,500 պտ/րոպե, 5 պտ/րոպե կարգավորման քայլ</w:t>
            </w:r>
          </w:p>
          <w:p w14:paraId="43AAEB6C" w14:textId="77777777" w:rsidR="00AA4939" w:rsidRPr="00AA4939" w:rsidRDefault="00AA4939" w:rsidP="00AA4939">
            <w:pPr>
              <w:pStyle w:val="a6"/>
              <w:numPr>
                <w:ilvl w:val="0"/>
                <w:numId w:val="17"/>
              </w:numPr>
              <w:spacing w:before="0" w:after="0"/>
              <w:ind w:left="169" w:hanging="141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A4939">
              <w:rPr>
                <w:rFonts w:ascii="GHEA Grapalat" w:hAnsi="GHEA Grapalat"/>
                <w:sz w:val="14"/>
                <w:szCs w:val="14"/>
                <w:lang w:val="hy-AM"/>
              </w:rPr>
              <w:t>Ջերմաստիճանի միջակայք և ճշգրտություն – առավելագույնը 380 °C, ±0.3 °C սահմանված ջերմաստիճանում</w:t>
            </w:r>
          </w:p>
          <w:p w14:paraId="0F167710" w14:textId="77777777" w:rsidR="00AA4939" w:rsidRPr="00AA4939" w:rsidRDefault="00AA4939" w:rsidP="00AA4939">
            <w:pPr>
              <w:pStyle w:val="a6"/>
              <w:numPr>
                <w:ilvl w:val="0"/>
                <w:numId w:val="17"/>
              </w:numPr>
              <w:spacing w:before="0" w:after="0"/>
              <w:ind w:left="169" w:hanging="141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A4939">
              <w:rPr>
                <w:rFonts w:ascii="GHEA Grapalat" w:hAnsi="GHEA Grapalat"/>
                <w:sz w:val="14"/>
                <w:szCs w:val="14"/>
                <w:lang w:val="hy-AM"/>
              </w:rPr>
              <w:t>Resolution – 0.1 °C (ցուցադրում), 0.5 °C (կարգավորում)</w:t>
            </w:r>
          </w:p>
          <w:p w14:paraId="6BE258B5" w14:textId="77777777" w:rsidR="00AA4939" w:rsidRPr="00AA4939" w:rsidRDefault="00AA4939" w:rsidP="00AA4939">
            <w:pPr>
              <w:pStyle w:val="a6"/>
              <w:numPr>
                <w:ilvl w:val="0"/>
                <w:numId w:val="17"/>
              </w:numPr>
              <w:spacing w:before="0" w:after="0"/>
              <w:ind w:left="169" w:hanging="141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A4939">
              <w:rPr>
                <w:rFonts w:ascii="GHEA Grapalat" w:hAnsi="GHEA Grapalat"/>
                <w:sz w:val="14"/>
                <w:szCs w:val="14"/>
                <w:lang w:val="hy-AM"/>
              </w:rPr>
              <w:t>Ջերմաստիճանի համասեռություն – հատուկ նախագծված տաքացման մոդուլ</w:t>
            </w:r>
            <w:r w:rsidRPr="00AA4939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AA4939">
              <w:rPr>
                <w:rFonts w:ascii="GHEA Grapalat" w:hAnsi="GHEA Grapalat"/>
                <w:sz w:val="14"/>
                <w:szCs w:val="14"/>
                <w:lang w:val="hy-AM"/>
              </w:rPr>
              <w:t xml:space="preserve"> ջերմաստիճանային տարբերությունը 10%-ով պակաս</w:t>
            </w:r>
          </w:p>
          <w:p w14:paraId="657204EC" w14:textId="77777777" w:rsidR="00AA4939" w:rsidRPr="00AA4939" w:rsidRDefault="00AA4939" w:rsidP="00AA4939">
            <w:pPr>
              <w:pStyle w:val="a6"/>
              <w:numPr>
                <w:ilvl w:val="0"/>
                <w:numId w:val="17"/>
              </w:numPr>
              <w:spacing w:before="0" w:after="0"/>
              <w:ind w:left="169" w:hanging="141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A4939">
              <w:rPr>
                <w:rFonts w:ascii="GHEA Grapalat" w:hAnsi="GHEA Grapalat"/>
                <w:sz w:val="14"/>
                <w:szCs w:val="14"/>
                <w:lang w:val="hy-AM"/>
              </w:rPr>
              <w:t>Տաքացման հզորություն / սպառում – 600 Վտ</w:t>
            </w:r>
          </w:p>
          <w:p w14:paraId="6233C499" w14:textId="77777777" w:rsidR="00AA4939" w:rsidRPr="00AA4939" w:rsidRDefault="00AA4939" w:rsidP="00AA4939">
            <w:pPr>
              <w:pStyle w:val="a6"/>
              <w:numPr>
                <w:ilvl w:val="0"/>
                <w:numId w:val="17"/>
              </w:numPr>
              <w:spacing w:before="0" w:after="0"/>
              <w:ind w:left="169" w:hanging="141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A4939">
              <w:rPr>
                <w:rFonts w:ascii="GHEA Grapalat" w:hAnsi="GHEA Grapalat"/>
                <w:sz w:val="14"/>
                <w:szCs w:val="14"/>
                <w:lang w:val="hy-AM"/>
              </w:rPr>
              <w:t>Ժամաչափ և ազդանշան – 99 ժ 59 րոպե (անընդհատ աշխատանքի հնարավորությամբ) – սխալի վիճակի և ժամանակաչափի ավարտի ազդանշան</w:t>
            </w:r>
          </w:p>
          <w:p w14:paraId="770A0CE0" w14:textId="77777777" w:rsidR="00AA4939" w:rsidRPr="00AA4939" w:rsidRDefault="00AA4939" w:rsidP="00AA4939">
            <w:pPr>
              <w:pStyle w:val="a6"/>
              <w:numPr>
                <w:ilvl w:val="0"/>
                <w:numId w:val="17"/>
              </w:numPr>
              <w:spacing w:before="0" w:after="0"/>
              <w:ind w:left="169" w:hanging="141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A4939">
              <w:rPr>
                <w:rFonts w:ascii="GHEA Grapalat" w:hAnsi="GHEA Grapalat"/>
                <w:sz w:val="14"/>
                <w:szCs w:val="14"/>
                <w:lang w:val="hy-AM"/>
              </w:rPr>
              <w:t>Ցուցադրման համակարգ – թվային LCD էկրան՝ հետին լուսավորմամբ</w:t>
            </w:r>
          </w:p>
          <w:p w14:paraId="579CF1C6" w14:textId="77777777" w:rsidR="00AA4939" w:rsidRPr="00AA4939" w:rsidRDefault="00AA4939" w:rsidP="00AA4939">
            <w:pPr>
              <w:pStyle w:val="a6"/>
              <w:numPr>
                <w:ilvl w:val="0"/>
                <w:numId w:val="17"/>
              </w:numPr>
              <w:spacing w:before="0" w:after="0"/>
              <w:ind w:left="169" w:hanging="141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A4939">
              <w:rPr>
                <w:rFonts w:ascii="GHEA Grapalat" w:hAnsi="GHEA Grapalat"/>
                <w:sz w:val="14"/>
                <w:szCs w:val="14"/>
                <w:lang w:val="hy-AM"/>
              </w:rPr>
              <w:t>Կառավարում – թվային հետադարձ կապով վերահսկիչ՝ պտտվող կարգավորիչ կոճակով (պտտել + սեղմել)</w:t>
            </w:r>
          </w:p>
          <w:p w14:paraId="3AF41145" w14:textId="77777777" w:rsidR="00AA4939" w:rsidRPr="00AA4939" w:rsidRDefault="00AA4939" w:rsidP="00AA4939">
            <w:pPr>
              <w:pStyle w:val="a6"/>
              <w:numPr>
                <w:ilvl w:val="0"/>
                <w:numId w:val="17"/>
              </w:numPr>
              <w:spacing w:before="0" w:after="0"/>
              <w:ind w:left="169" w:hanging="141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A4939">
              <w:rPr>
                <w:rFonts w:ascii="GHEA Grapalat" w:hAnsi="GHEA Grapalat"/>
                <w:sz w:val="14"/>
                <w:szCs w:val="14"/>
                <w:lang w:val="hy-AM"/>
              </w:rPr>
              <w:t>Խառնիչ ձողիկ – ներառված է 3 սմ ձողիկ, կիրառելի՝ մինչև 5 սմ ձողիկ</w:t>
            </w:r>
          </w:p>
          <w:p w14:paraId="404763D3" w14:textId="77777777" w:rsidR="00AA4939" w:rsidRPr="00AA4939" w:rsidRDefault="00AA4939" w:rsidP="00AA4939">
            <w:pPr>
              <w:pStyle w:val="a6"/>
              <w:numPr>
                <w:ilvl w:val="0"/>
                <w:numId w:val="17"/>
              </w:numPr>
              <w:spacing w:before="0" w:after="0"/>
              <w:ind w:left="169" w:hanging="141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A4939">
              <w:rPr>
                <w:rFonts w:ascii="GHEA Grapalat" w:hAnsi="GHEA Grapalat"/>
                <w:sz w:val="14"/>
                <w:szCs w:val="14"/>
                <w:lang w:val="hy-AM"/>
              </w:rPr>
              <w:t xml:space="preserve">Անվտանգության համակարգ – </w:t>
            </w:r>
            <w:r w:rsidRPr="00AA4939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գերտաքացման պաշտպանություն</w:t>
            </w:r>
          </w:p>
          <w:p w14:paraId="0DCD74BD" w14:textId="77777777" w:rsidR="00AA4939" w:rsidRPr="00AA4939" w:rsidRDefault="00AA4939" w:rsidP="00AA4939">
            <w:pPr>
              <w:pStyle w:val="a6"/>
              <w:numPr>
                <w:ilvl w:val="0"/>
                <w:numId w:val="17"/>
              </w:numPr>
              <w:spacing w:before="0" w:after="0"/>
              <w:ind w:left="169" w:hanging="141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A4939">
              <w:rPr>
                <w:rFonts w:ascii="GHEA Grapalat" w:hAnsi="GHEA Grapalat"/>
                <w:sz w:val="14"/>
                <w:szCs w:val="14"/>
                <w:lang w:val="hy-AM"/>
              </w:rPr>
              <w:t>Թույլատրելի ջերմաստիճան և հարաբերական խոնավություն – շրջակա միջավայրի +5 ~ 50 °C, 85% RH</w:t>
            </w:r>
          </w:p>
          <w:p w14:paraId="1E043D65" w14:textId="77777777" w:rsidR="00AA4939" w:rsidRPr="00AA4939" w:rsidRDefault="00AA4939" w:rsidP="00AA4939">
            <w:pPr>
              <w:pStyle w:val="a6"/>
              <w:numPr>
                <w:ilvl w:val="0"/>
                <w:numId w:val="17"/>
              </w:numPr>
              <w:spacing w:before="0" w:after="0"/>
              <w:ind w:left="169" w:hanging="141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A4939">
              <w:rPr>
                <w:rFonts w:ascii="GHEA Grapalat" w:hAnsi="GHEA Grapalat"/>
                <w:sz w:val="14"/>
                <w:szCs w:val="14"/>
                <w:lang w:val="hy-AM"/>
              </w:rPr>
              <w:t>Չափսեր (Ե × Լ × Բ) – 206 × 307 × 99 մմ</w:t>
            </w:r>
          </w:p>
          <w:p w14:paraId="29040449" w14:textId="23B41127" w:rsidR="00AA4939" w:rsidRPr="00421C99" w:rsidRDefault="00AA4939" w:rsidP="00AA4939">
            <w:pPr>
              <w:spacing w:before="0" w:after="0"/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highlight w:val="yellow"/>
                <w:lang w:val="hy-AM"/>
              </w:rPr>
            </w:pPr>
            <w:r w:rsidRPr="00AA4939">
              <w:rPr>
                <w:rFonts w:ascii="GHEA Grapalat" w:hAnsi="GHEA Grapalat"/>
                <w:sz w:val="14"/>
                <w:szCs w:val="14"/>
                <w:lang w:val="hy-AM"/>
              </w:rPr>
              <w:t>Էլեկտրասնուցում և լար/խրոցակ – 1 ֆազ, AC 120 Վ, 60 Հց կամ AC 230 Վ, 50/60 Հց</w:t>
            </w:r>
            <w:r w:rsidRPr="00AA4939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 </w:t>
            </w:r>
          </w:p>
        </w:tc>
      </w:tr>
      <w:tr w:rsidR="00AA4939" w:rsidRPr="00AA4939" w14:paraId="1AB14B74" w14:textId="77777777" w:rsidTr="007A46B0">
        <w:trPr>
          <w:trHeight w:val="60"/>
        </w:trPr>
        <w:tc>
          <w:tcPr>
            <w:tcW w:w="567" w:type="dxa"/>
            <w:shd w:val="clear" w:color="auto" w:fill="auto"/>
            <w:vAlign w:val="center"/>
          </w:tcPr>
          <w:p w14:paraId="2B089583" w14:textId="0D68A96B" w:rsidR="00AA4939" w:rsidRDefault="00AA4939" w:rsidP="00AA4939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035C81D5" w14:textId="40AF0A8C" w:rsidR="00AA4939" w:rsidRPr="0042736D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lang w:val="hy-AM"/>
              </w:rPr>
            </w:pPr>
            <w:r w:rsidRPr="0032420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Ստանդարտ լուծույթներ գազային քրոմատոգրաֆիայի (GC) համար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EED878C" w14:textId="0B0F9968" w:rsidR="00AA4939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975BE0E" w14:textId="1741767F" w:rsidR="00AA4939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450901C4" w14:textId="01619BE9" w:rsidR="00AA4939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</w:pPr>
            <w:r w:rsidRPr="00002CB5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14:paraId="05959E83" w14:textId="18A6F4EA" w:rsidR="00AA4939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7EEC70E" w14:textId="022BA15E" w:rsidR="00AA4939" w:rsidRPr="00A83E96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Arial" w:hAnsi="Arial" w:cs="Arial"/>
                <w:sz w:val="18"/>
                <w:szCs w:val="18"/>
                <w:highlight w:val="white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500000</w:t>
            </w:r>
          </w:p>
        </w:tc>
        <w:tc>
          <w:tcPr>
            <w:tcW w:w="255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A5C0158" w14:textId="77777777" w:rsidR="00AA4939" w:rsidRPr="00982024" w:rsidRDefault="00AA4939" w:rsidP="00AA4939">
            <w:pPr>
              <w:pStyle w:val="a6"/>
              <w:numPr>
                <w:ilvl w:val="0"/>
                <w:numId w:val="16"/>
              </w:numPr>
              <w:spacing w:before="0" w:after="0"/>
              <w:ind w:left="0" w:firstLine="0"/>
              <w:rPr>
                <w:rFonts w:ascii="Times New Roman" w:hAnsi="Times New Roman"/>
                <w:b/>
                <w:sz w:val="18"/>
                <w:szCs w:val="18"/>
                <w:lang w:val="hy-AM"/>
              </w:rPr>
            </w:pPr>
            <w:r w:rsidRPr="00982024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Ալիֆատիկ ածխաջրածինների ստանդարտ</w:t>
            </w:r>
          </w:p>
          <w:p w14:paraId="36AC865A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Տեսակ – ալիֆատիկ ածխաջրածինների ստանդարտ լուծույթ</w:t>
            </w:r>
          </w:p>
          <w:p w14:paraId="13AB0E6E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Կոնցենտրացիա – 1000 µg/mL</w:t>
            </w:r>
          </w:p>
          <w:p w14:paraId="24553C5F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Լուծիչ – հեքսան (Hexane)</w:t>
            </w:r>
          </w:p>
          <w:p w14:paraId="74F9DB01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Փաթեթավորում – ամպուլ</w:t>
            </w:r>
          </w:p>
          <w:p w14:paraId="3053B50B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Ծավալ – 1,0 մլ</w:t>
            </w:r>
          </w:p>
          <w:p w14:paraId="16552E41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 xml:space="preserve">Նպատակ –  GC վերլուծության համար ալիֆատիկ ֆրակցիայի աստիճանավորում և որակի վերահսկում </w:t>
            </w:r>
          </w:p>
          <w:p w14:paraId="5CDC437C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Համատեղելիություն – GC և GC/MS վերլուծության համար</w:t>
            </w:r>
          </w:p>
          <w:p w14:paraId="0915DE04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Որակի սերտիֆիկատ – CoA</w:t>
            </w:r>
          </w:p>
          <w:p w14:paraId="52F3B3E6" w14:textId="61A8A20C" w:rsidR="00AA4939" w:rsidRPr="00643AC0" w:rsidRDefault="00AA4939" w:rsidP="00AA4939">
            <w:pPr>
              <w:spacing w:before="0" w:after="0"/>
              <w:ind w:left="0" w:firstLine="0"/>
              <w:rPr>
                <w:b/>
                <w:sz w:val="18"/>
                <w:szCs w:val="18"/>
                <w:lang w:val="hy-AM"/>
              </w:rPr>
            </w:pPr>
            <w:r w:rsidRPr="000D52AC">
              <w:rPr>
                <w:b/>
                <w:sz w:val="18"/>
                <w:szCs w:val="18"/>
                <w:lang w:val="hy-AM"/>
              </w:rPr>
              <w:t>Կազմ – (C9) ն-նոնան; (C10) ն-դեկան; (C12) ն-դոդեկան; (C14) ն-տետրադեկան; (C16) ն-հեքսադեկան; (C18) ն-օկտադեկան; (C19) ն-նոնադեկան; (C20) ն-էյկոզան; (C22) ն-դոկոզան; (C24) ն-տետրակոզան; (C26) ն-հեքսակոզան; (C28) ն-օկտակոզան; (C30) ն-տրիակոնտան; (C36) ն-հեքսատրիակոնտան</w:t>
            </w:r>
          </w:p>
          <w:p w14:paraId="6A495252" w14:textId="77777777" w:rsidR="00AA4939" w:rsidRPr="00982024" w:rsidRDefault="00AA4939" w:rsidP="00AA4939">
            <w:pPr>
              <w:pStyle w:val="a6"/>
              <w:numPr>
                <w:ilvl w:val="0"/>
                <w:numId w:val="16"/>
              </w:numPr>
              <w:spacing w:before="0" w:after="0"/>
              <w:ind w:left="0" w:firstLine="0"/>
              <w:rPr>
                <w:rFonts w:ascii="Times New Roman" w:hAnsi="Times New Roman"/>
                <w:b/>
                <w:sz w:val="18"/>
                <w:szCs w:val="18"/>
                <w:lang w:val="hy-AM"/>
              </w:rPr>
            </w:pPr>
            <w:r w:rsidRPr="00982024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Արոմատիկ ածխաջրածինների ստանդարտ</w:t>
            </w:r>
          </w:p>
          <w:p w14:paraId="19E816D7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4F212D">
              <w:rPr>
                <w:bCs/>
                <w:sz w:val="18"/>
                <w:szCs w:val="18"/>
                <w:lang w:val="hy-AM"/>
              </w:rPr>
              <w:t xml:space="preserve">Տեսակ – </w:t>
            </w:r>
            <w:r w:rsidRPr="00AA4939">
              <w:rPr>
                <w:sz w:val="14"/>
                <w:szCs w:val="14"/>
                <w:lang w:val="hy-AM"/>
              </w:rPr>
              <w:t>արոմատիկ ածխաջրածինների ստանդարտ լուծույթ</w:t>
            </w:r>
          </w:p>
          <w:p w14:paraId="77C10407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Կոնցենտրացիա – 1000 µg/mL</w:t>
            </w:r>
          </w:p>
          <w:p w14:paraId="42C47D26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Լուծիչ – Մեթիլեն քլորիդ</w:t>
            </w:r>
          </w:p>
          <w:p w14:paraId="0701F758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Փաթեթավորում – ամպուլ</w:t>
            </w:r>
          </w:p>
          <w:p w14:paraId="717AAAF4" w14:textId="77777777" w:rsidR="00AA4939" w:rsidRPr="004F212D" w:rsidRDefault="00AA4939" w:rsidP="00AA4939">
            <w:pPr>
              <w:spacing w:before="0" w:after="0"/>
              <w:ind w:left="0" w:firstLine="0"/>
              <w:rPr>
                <w:bCs/>
                <w:sz w:val="18"/>
                <w:szCs w:val="18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Ծավալ – 1,0</w:t>
            </w:r>
            <w:r w:rsidRPr="004F212D">
              <w:rPr>
                <w:bCs/>
                <w:sz w:val="18"/>
                <w:szCs w:val="18"/>
                <w:lang w:val="hy-AM"/>
              </w:rPr>
              <w:t xml:space="preserve"> մլ</w:t>
            </w:r>
          </w:p>
          <w:p w14:paraId="09FD577E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 xml:space="preserve">Նպատակ –  GC վերլուծության համար արոմատիկ ֆրակցիայի աստիճանավորում և որակի վերահսկում </w:t>
            </w:r>
          </w:p>
          <w:p w14:paraId="57123232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Համատեղելիություն – GC և GC/MS վերլուծության համար</w:t>
            </w:r>
            <w:r w:rsidRPr="00AA4939">
              <w:rPr>
                <w:sz w:val="14"/>
                <w:szCs w:val="14"/>
                <w:lang w:val="hy-AM"/>
              </w:rPr>
              <w:br/>
              <w:t>Որակի սերտիֆիկատ – CoA</w:t>
            </w:r>
          </w:p>
          <w:p w14:paraId="701C958F" w14:textId="77777777" w:rsidR="00AA4939" w:rsidRPr="00643AC0" w:rsidRDefault="00AA4939" w:rsidP="00AA4939">
            <w:pPr>
              <w:spacing w:before="0" w:after="0"/>
              <w:ind w:left="0" w:firstLine="0"/>
              <w:rPr>
                <w:b/>
                <w:sz w:val="18"/>
                <w:szCs w:val="18"/>
              </w:rPr>
            </w:pPr>
            <w:r w:rsidRPr="00AA4939">
              <w:rPr>
                <w:sz w:val="14"/>
                <w:szCs w:val="14"/>
                <w:lang w:val="hy-AM"/>
              </w:rPr>
              <w:t>Կազմ – Acenaphthene; Acenaphthylene</w:t>
            </w:r>
            <w:r w:rsidRPr="000D52AC">
              <w:rPr>
                <w:b/>
                <w:sz w:val="18"/>
                <w:szCs w:val="18"/>
              </w:rPr>
              <w:t>; Anthracene; Benz[a]anthracene; Benzo[a]pyrene; Benzo[b]fluoranthene; Benzo[k]fluoranthene; Benzo[g,h,i]perylene; Chrysene; Dibenz[a,h]anthracene; Fluoranthene; Fluorene; Indeno[1,2,3-cd]pyrene; 2-Methylnaphthalene; Naphthalene; Phenanthrene; Pyrene</w:t>
            </w:r>
          </w:p>
          <w:p w14:paraId="13A27049" w14:textId="77777777" w:rsidR="00AA4939" w:rsidRPr="00643AC0" w:rsidRDefault="00AA4939" w:rsidP="00AA4939">
            <w:pPr>
              <w:spacing w:before="0" w:after="0"/>
              <w:ind w:left="0" w:firstLine="0"/>
              <w:rPr>
                <w:b/>
                <w:sz w:val="18"/>
                <w:szCs w:val="18"/>
              </w:rPr>
            </w:pPr>
          </w:p>
          <w:p w14:paraId="59BA5232" w14:textId="77777777" w:rsidR="00AA4939" w:rsidRPr="00982024" w:rsidRDefault="00AA4939" w:rsidP="00AA4939">
            <w:pPr>
              <w:pStyle w:val="a6"/>
              <w:numPr>
                <w:ilvl w:val="0"/>
                <w:numId w:val="16"/>
              </w:numPr>
              <w:spacing w:before="0" w:after="0"/>
              <w:ind w:left="0" w:firstLine="0"/>
              <w:rPr>
                <w:rFonts w:ascii="Times New Roman" w:hAnsi="Times New Roman"/>
                <w:b/>
                <w:sz w:val="18"/>
                <w:szCs w:val="18"/>
                <w:lang w:val="hy-AM"/>
              </w:rPr>
            </w:pPr>
            <w:r w:rsidRPr="00982024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Ալիֆատիկ/Արոմատիկ ածխաջրածինների ստանդարտ</w:t>
            </w:r>
          </w:p>
          <w:p w14:paraId="5BF03269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Տեսակ – ալիֆատիկ /արոմատիկ ածխաջրածինների ստանդարտ լուծույթ</w:t>
            </w:r>
          </w:p>
          <w:p w14:paraId="28CAD5B7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Կոնցենտրացիա – 2000 µg/mL</w:t>
            </w:r>
          </w:p>
          <w:p w14:paraId="087592B8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Լուծիչ – Մեթանոլ</w:t>
            </w:r>
          </w:p>
          <w:p w14:paraId="218A4A07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Փաթեթավորում – ամպուլ</w:t>
            </w:r>
          </w:p>
          <w:p w14:paraId="5146B653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Ծավալ – 1,0 մլ</w:t>
            </w:r>
          </w:p>
          <w:p w14:paraId="20CD6871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 xml:space="preserve">Նպատակ –  GC վերլուծության համար ալիֆատիկ/արոմատիկ ֆրակցիայի </w:t>
            </w:r>
            <w:r w:rsidRPr="00AA4939">
              <w:rPr>
                <w:sz w:val="14"/>
                <w:szCs w:val="14"/>
                <w:lang w:val="hy-AM"/>
              </w:rPr>
              <w:lastRenderedPageBreak/>
              <w:t xml:space="preserve">աստիճանավորում և որակի վերահսկում </w:t>
            </w:r>
          </w:p>
          <w:p w14:paraId="032C8C2C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Համատեղելիություն – GC և GC/MS վերլուծության համար</w:t>
            </w:r>
            <w:r w:rsidRPr="00AA4939">
              <w:rPr>
                <w:sz w:val="14"/>
                <w:szCs w:val="14"/>
                <w:lang w:val="hy-AM"/>
              </w:rPr>
              <w:br/>
              <w:t>Որակի սերտիֆիկատ – CoA</w:t>
            </w:r>
          </w:p>
          <w:p w14:paraId="5F0A34A5" w14:textId="77777777" w:rsidR="00AA4939" w:rsidRPr="00643AC0" w:rsidRDefault="00AA4939" w:rsidP="00AA4939">
            <w:pPr>
              <w:spacing w:before="0" w:after="0"/>
              <w:ind w:left="0" w:firstLine="0"/>
              <w:rPr>
                <w:b/>
                <w:sz w:val="18"/>
                <w:szCs w:val="18"/>
                <w:lang w:val="hy-AM"/>
              </w:rPr>
            </w:pPr>
            <w:r w:rsidRPr="00D50389">
              <w:rPr>
                <w:b/>
                <w:sz w:val="18"/>
                <w:szCs w:val="18"/>
                <w:lang w:val="hy-AM"/>
              </w:rPr>
              <w:t>Կազմ – Benzene; Ethylbenzene; 1-Ethyl-2-methylbenzene; 1-Ethyl-3-methylbenzene; 1-Ethyl-4-methylbenzene; Isopropylbenzene (cumene); n-Propylbenzene; Toluene; 1,2,3-Trimethylbenzene; 1,2,4-Trimethylbenzene; 1,3,5-Trimethylbenzene; m-Xylene; o-Xylene; p-Xylene</w:t>
            </w:r>
          </w:p>
          <w:p w14:paraId="259294C8" w14:textId="77777777" w:rsidR="00AA4939" w:rsidRPr="00643AC0" w:rsidRDefault="00AA4939" w:rsidP="00AA4939">
            <w:pPr>
              <w:spacing w:before="0" w:after="0"/>
              <w:ind w:left="0" w:firstLine="0"/>
              <w:rPr>
                <w:b/>
                <w:sz w:val="18"/>
                <w:szCs w:val="18"/>
                <w:lang w:val="hy-AM"/>
              </w:rPr>
            </w:pPr>
          </w:p>
          <w:p w14:paraId="03628A49" w14:textId="77777777" w:rsidR="00AA4939" w:rsidRPr="00982024" w:rsidRDefault="00AA4939" w:rsidP="00AA4939">
            <w:pPr>
              <w:pStyle w:val="a6"/>
              <w:numPr>
                <w:ilvl w:val="0"/>
                <w:numId w:val="16"/>
              </w:numPr>
              <w:spacing w:before="0" w:after="0"/>
              <w:ind w:left="0" w:firstLine="0"/>
              <w:rPr>
                <w:rFonts w:ascii="Times New Roman" w:hAnsi="Times New Roman"/>
                <w:b/>
                <w:sz w:val="18"/>
                <w:szCs w:val="18"/>
                <w:lang w:val="hy-AM"/>
              </w:rPr>
            </w:pPr>
            <w:r w:rsidRPr="00982024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Պեստիցիդների ստանդարտ (508.1 Calibration Mix #3)</w:t>
            </w:r>
          </w:p>
          <w:p w14:paraId="765FCCE3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Տեսակ – պեստիցիդների ստանդարտ լուծույթ (աստիճանավորման խառնուրդ)</w:t>
            </w:r>
          </w:p>
          <w:p w14:paraId="54440D69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Կոնցենտրացիա – 500 µg/mL (յուրաքանչյուր բաղադրիչ)</w:t>
            </w:r>
          </w:p>
          <w:p w14:paraId="51C3532E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Լուծիչ – էթիլացետատ (Ethyl acetate)</w:t>
            </w:r>
          </w:p>
          <w:p w14:paraId="4D5AE3FA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Փաթեթավորում – ամպուլ</w:t>
            </w:r>
          </w:p>
          <w:p w14:paraId="32E8C69D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Ծավալ – 1,0 մլ</w:t>
            </w:r>
          </w:p>
          <w:p w14:paraId="271831E1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Նպատակ –  GC վերլուծության համար պեստիցիդների ստանդարտ լուծույթ աստիճանավորում և որակի վերահսկում (EPA 508.1 մեթոդ)</w:t>
            </w:r>
          </w:p>
          <w:p w14:paraId="663E4B18" w14:textId="77777777" w:rsidR="00AA4939" w:rsidRPr="004F212D" w:rsidRDefault="00AA4939" w:rsidP="00AA4939">
            <w:pPr>
              <w:spacing w:before="0" w:after="0"/>
              <w:ind w:left="0" w:firstLine="0"/>
              <w:rPr>
                <w:sz w:val="18"/>
                <w:szCs w:val="18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Համատեղելիություն – GC և GC/MS վերլուծության համար</w:t>
            </w:r>
            <w:r w:rsidRPr="00AA4939">
              <w:rPr>
                <w:sz w:val="14"/>
                <w:szCs w:val="14"/>
                <w:lang w:val="hy-AM"/>
              </w:rPr>
              <w:br/>
            </w:r>
            <w:r w:rsidRPr="004F212D">
              <w:rPr>
                <w:sz w:val="18"/>
                <w:szCs w:val="18"/>
                <w:lang w:val="hy-AM"/>
              </w:rPr>
              <w:t xml:space="preserve">Որակի սերտիֆիկատ </w:t>
            </w:r>
            <w:r w:rsidRPr="004F212D">
              <w:rPr>
                <w:bCs/>
                <w:sz w:val="18"/>
                <w:szCs w:val="18"/>
                <w:lang w:val="hy-AM"/>
              </w:rPr>
              <w:t>–</w:t>
            </w:r>
            <w:r w:rsidRPr="004F212D">
              <w:rPr>
                <w:sz w:val="18"/>
                <w:szCs w:val="18"/>
                <w:lang w:val="hy-AM"/>
              </w:rPr>
              <w:t xml:space="preserve"> CoA</w:t>
            </w:r>
          </w:p>
          <w:p w14:paraId="7ED3C70F" w14:textId="77777777" w:rsidR="00AA4939" w:rsidRDefault="00AA4939" w:rsidP="00AA4939">
            <w:pPr>
              <w:spacing w:before="0" w:after="0"/>
              <w:ind w:left="0" w:firstLine="0"/>
              <w:rPr>
                <w:b/>
                <w:sz w:val="18"/>
                <w:szCs w:val="18"/>
              </w:rPr>
            </w:pPr>
            <w:r w:rsidRPr="0020259B">
              <w:rPr>
                <w:b/>
                <w:sz w:val="18"/>
                <w:szCs w:val="18"/>
              </w:rPr>
              <w:t>Կազմ – Alachlor, Atrazine, Chlorothalonil, Cyanazine, Hexachlorocyclopentadiene, Metolachlor, Metribuzin, Simazine</w:t>
            </w:r>
          </w:p>
          <w:p w14:paraId="1D888782" w14:textId="77777777" w:rsidR="00AA4939" w:rsidRPr="00643AC0" w:rsidRDefault="00AA4939" w:rsidP="00AA4939">
            <w:pPr>
              <w:spacing w:before="0" w:after="0"/>
              <w:ind w:left="0" w:firstLine="0"/>
              <w:rPr>
                <w:b/>
                <w:sz w:val="18"/>
                <w:szCs w:val="18"/>
              </w:rPr>
            </w:pPr>
          </w:p>
          <w:p w14:paraId="19C33FD9" w14:textId="77777777" w:rsidR="00AA4939" w:rsidRPr="00982024" w:rsidRDefault="00AA4939" w:rsidP="00AA4939">
            <w:pPr>
              <w:pStyle w:val="a6"/>
              <w:numPr>
                <w:ilvl w:val="0"/>
                <w:numId w:val="16"/>
              </w:numPr>
              <w:spacing w:before="0" w:after="0"/>
              <w:ind w:left="0" w:firstLine="0"/>
              <w:rPr>
                <w:rFonts w:ascii="Times New Roman" w:hAnsi="Times New Roman"/>
                <w:b/>
                <w:sz w:val="18"/>
                <w:szCs w:val="18"/>
                <w:lang w:val="hy-AM"/>
              </w:rPr>
            </w:pPr>
            <w:r w:rsidRPr="00982024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Պեստիցիդների ստանդարտ (</w:t>
            </w:r>
            <w:r w:rsidRPr="00982024">
              <w:rPr>
                <w:rFonts w:ascii="Times New Roman" w:hAnsi="Times New Roman"/>
                <w:b/>
                <w:sz w:val="18"/>
                <w:szCs w:val="18"/>
              </w:rPr>
              <w:t>EPA 505</w:t>
            </w:r>
            <w:r w:rsidRPr="00982024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)</w:t>
            </w:r>
          </w:p>
          <w:p w14:paraId="72753574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Տեսակ – պեստիցիդների ստանդարտ լուծույթ (աստիճանավորման խառնուրդ)</w:t>
            </w:r>
          </w:p>
          <w:p w14:paraId="1590AA3D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Կոնցենտրացիա – 200 µg/mL (յուրաքանչյուր բաղադրիչ)</w:t>
            </w:r>
          </w:p>
          <w:p w14:paraId="69DFACD1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Լուծիչ – մեթանոլ (Methanol)</w:t>
            </w:r>
          </w:p>
          <w:p w14:paraId="44F5B2C7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Փաթեթավորում – ամպուլ</w:t>
            </w:r>
          </w:p>
          <w:p w14:paraId="20D868DE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Ծավալ – 1,0 մլ</w:t>
            </w:r>
          </w:p>
          <w:p w14:paraId="293BC7B2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Նպատակ –  GC վերլուծության համար պեստիցիդների ստանդարտ լուծույթ աստիճանավորում և որակի վերահսկում (EPA 505 մեթոդ)</w:t>
            </w:r>
          </w:p>
          <w:p w14:paraId="7568B03B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Համատեղելիություն – GC և GC/MS վերլուծության համար</w:t>
            </w:r>
            <w:r w:rsidRPr="00AA4939">
              <w:rPr>
                <w:sz w:val="14"/>
                <w:szCs w:val="14"/>
                <w:lang w:val="hy-AM"/>
              </w:rPr>
              <w:br/>
              <w:t>Որակի սերտիֆիկատ – CoA</w:t>
            </w:r>
          </w:p>
          <w:p w14:paraId="4C3DCCF5" w14:textId="77777777" w:rsidR="00AA4939" w:rsidRDefault="00AA4939" w:rsidP="00AA4939">
            <w:pPr>
              <w:spacing w:before="0" w:after="0"/>
              <w:ind w:left="0" w:firstLine="0"/>
              <w:rPr>
                <w:b/>
                <w:sz w:val="18"/>
                <w:szCs w:val="18"/>
              </w:rPr>
            </w:pPr>
            <w:r w:rsidRPr="0020259B">
              <w:rPr>
                <w:b/>
                <w:sz w:val="18"/>
                <w:szCs w:val="18"/>
              </w:rPr>
              <w:t xml:space="preserve">Կազմ – </w:t>
            </w:r>
            <w:r w:rsidRPr="00522C4C">
              <w:rPr>
                <w:b/>
                <w:sz w:val="18"/>
                <w:szCs w:val="18"/>
              </w:rPr>
              <w:t>Aldrin, Alachlor, Atrazine, γ-BHC (Lindane), cis-Chlordane, trans-Chlordane, Dieldrin, Endrin, Heptachlor, Heptachlor epoxide, Hexachlorobenzene, Hexachlorocyclopentadiene, Methoxychlor, cis-Nonachlor, trans-Nonachlor, Simazine</w:t>
            </w:r>
          </w:p>
          <w:p w14:paraId="79ECA0DA" w14:textId="77777777" w:rsidR="00AA4939" w:rsidRPr="00643AC0" w:rsidRDefault="00AA4939" w:rsidP="00AA4939">
            <w:pPr>
              <w:spacing w:before="0" w:after="0"/>
              <w:ind w:left="0" w:firstLine="0"/>
              <w:rPr>
                <w:b/>
                <w:sz w:val="18"/>
                <w:szCs w:val="18"/>
              </w:rPr>
            </w:pPr>
          </w:p>
          <w:p w14:paraId="05E3C0D6" w14:textId="77777777" w:rsidR="00AA4939" w:rsidRPr="00643AC0" w:rsidRDefault="00AA4939" w:rsidP="00AA4939">
            <w:pPr>
              <w:spacing w:before="0" w:after="0"/>
              <w:ind w:left="0" w:firstLine="0"/>
              <w:rPr>
                <w:b/>
                <w:sz w:val="18"/>
                <w:szCs w:val="18"/>
              </w:rPr>
            </w:pPr>
          </w:p>
          <w:p w14:paraId="0D698C1D" w14:textId="77777777" w:rsidR="00AA4939" w:rsidRPr="00982024" w:rsidRDefault="00AA4939" w:rsidP="00AA4939">
            <w:pPr>
              <w:pStyle w:val="a6"/>
              <w:numPr>
                <w:ilvl w:val="0"/>
                <w:numId w:val="16"/>
              </w:numPr>
              <w:spacing w:before="0" w:after="0"/>
              <w:ind w:left="0"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82024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 xml:space="preserve">Պեստիցիդների ստանդարտ </w:t>
            </w:r>
          </w:p>
          <w:p w14:paraId="2530FB1F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4F212D">
              <w:rPr>
                <w:bCs/>
                <w:sz w:val="18"/>
                <w:szCs w:val="18"/>
                <w:lang w:val="hy-AM"/>
              </w:rPr>
              <w:t xml:space="preserve">Տեսակ – </w:t>
            </w:r>
            <w:r w:rsidRPr="00AA4939">
              <w:rPr>
                <w:sz w:val="14"/>
                <w:szCs w:val="14"/>
                <w:lang w:val="hy-AM"/>
              </w:rPr>
              <w:t>պեստիցիդների ստանդարտ լուծույթ (աստիճանավորման խառնուրդ)</w:t>
            </w:r>
          </w:p>
          <w:p w14:paraId="631E8BC8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Կոնցենտրացիա – 2000 µg/mL (յուրաքանչյուր բաղադրիչ)</w:t>
            </w:r>
          </w:p>
          <w:p w14:paraId="25E5685A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Լուծիչ – հեքսան : տոլուոլ (1:1) խառնուրդ</w:t>
            </w:r>
          </w:p>
          <w:p w14:paraId="6CE0FF5D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Փաթեթավորում – ամպուլ</w:t>
            </w:r>
          </w:p>
          <w:p w14:paraId="0EB1753F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Ծավալ – 1,0 մլ</w:t>
            </w:r>
          </w:p>
          <w:p w14:paraId="48EB9913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Նպատակ –  GC վերլուծության համար պեստիցիդների ստանդարտ լուծույթ աստիճանավորում և որակի վերահսկում (EPA 505 մեթոդ)</w:t>
            </w:r>
          </w:p>
          <w:p w14:paraId="115C47AB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 xml:space="preserve">Համատեղելիություն – GC և GC/MS </w:t>
            </w:r>
            <w:r w:rsidRPr="00AA4939">
              <w:rPr>
                <w:sz w:val="14"/>
                <w:szCs w:val="14"/>
                <w:lang w:val="hy-AM"/>
              </w:rPr>
              <w:lastRenderedPageBreak/>
              <w:t>վերլուծության համար</w:t>
            </w:r>
            <w:r w:rsidRPr="00AA4939">
              <w:rPr>
                <w:sz w:val="14"/>
                <w:szCs w:val="14"/>
                <w:lang w:val="hy-AM"/>
              </w:rPr>
              <w:br/>
              <w:t>Որակի սերտիֆիկատ – CoA</w:t>
            </w:r>
          </w:p>
          <w:p w14:paraId="7E573827" w14:textId="71B28CEA" w:rsidR="00AA4939" w:rsidRPr="00AA4939" w:rsidRDefault="00AA4939" w:rsidP="00AA4939">
            <w:pPr>
              <w:spacing w:before="0" w:after="0"/>
              <w:ind w:left="0" w:firstLine="0"/>
              <w:rPr>
                <w:b/>
                <w:sz w:val="18"/>
                <w:szCs w:val="18"/>
                <w:lang w:val="hy-AM"/>
              </w:rPr>
            </w:pPr>
            <w:r w:rsidRPr="00912B87">
              <w:rPr>
                <w:b/>
                <w:sz w:val="18"/>
                <w:szCs w:val="18"/>
                <w:lang w:val="hy-AM"/>
              </w:rPr>
              <w:t xml:space="preserve">Կազմ – Aldrin, </w:t>
            </w:r>
            <w:r w:rsidRPr="00912B87">
              <w:rPr>
                <w:b/>
                <w:sz w:val="18"/>
                <w:szCs w:val="18"/>
              </w:rPr>
              <w:t>α</w:t>
            </w:r>
            <w:r w:rsidRPr="00912B87">
              <w:rPr>
                <w:b/>
                <w:sz w:val="18"/>
                <w:szCs w:val="18"/>
                <w:lang w:val="hy-AM"/>
              </w:rPr>
              <w:t xml:space="preserve">-BHC, </w:t>
            </w:r>
            <w:r w:rsidRPr="00912B87">
              <w:rPr>
                <w:b/>
                <w:sz w:val="18"/>
                <w:szCs w:val="18"/>
              </w:rPr>
              <w:t>β</w:t>
            </w:r>
            <w:r w:rsidRPr="00912B87">
              <w:rPr>
                <w:b/>
                <w:sz w:val="18"/>
                <w:szCs w:val="18"/>
                <w:lang w:val="hy-AM"/>
              </w:rPr>
              <w:t xml:space="preserve">-BHC, </w:t>
            </w:r>
            <w:r w:rsidRPr="00912B87">
              <w:rPr>
                <w:b/>
                <w:sz w:val="18"/>
                <w:szCs w:val="18"/>
              </w:rPr>
              <w:t>γ</w:t>
            </w:r>
            <w:r w:rsidRPr="00912B87">
              <w:rPr>
                <w:b/>
                <w:sz w:val="18"/>
                <w:szCs w:val="18"/>
                <w:lang w:val="hy-AM"/>
              </w:rPr>
              <w:t xml:space="preserve">-BHC (Lindane), </w:t>
            </w:r>
            <w:r w:rsidRPr="00912B87">
              <w:rPr>
                <w:b/>
                <w:sz w:val="18"/>
                <w:szCs w:val="18"/>
              </w:rPr>
              <w:t>δ</w:t>
            </w:r>
            <w:r w:rsidRPr="00912B87">
              <w:rPr>
                <w:b/>
                <w:sz w:val="18"/>
                <w:szCs w:val="18"/>
                <w:lang w:val="hy-AM"/>
              </w:rPr>
              <w:t>-BHC, cis-Chlordane, trans-Chlordane, 4,4'-DDD, 4,4'-DDE, 4,4'-DDT, Dieldrin, Endosulfan I, Endosulfan II, Endosulfan sulfate, Endrin, Endrin aldehyde, Endrin ketone, Heptachlor, Heptachlor epoxide (isomer B), Methoxychlor</w:t>
            </w:r>
          </w:p>
        </w:tc>
        <w:tc>
          <w:tcPr>
            <w:tcW w:w="255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BA2EA65" w14:textId="77777777" w:rsidR="00AA4939" w:rsidRPr="00982024" w:rsidRDefault="00AA4939" w:rsidP="00AA4939">
            <w:pPr>
              <w:pStyle w:val="a6"/>
              <w:numPr>
                <w:ilvl w:val="0"/>
                <w:numId w:val="16"/>
              </w:numPr>
              <w:spacing w:before="0" w:after="0"/>
              <w:ind w:left="0" w:firstLine="0"/>
              <w:rPr>
                <w:rFonts w:ascii="Times New Roman" w:hAnsi="Times New Roman"/>
                <w:b/>
                <w:sz w:val="18"/>
                <w:szCs w:val="18"/>
                <w:lang w:val="hy-AM"/>
              </w:rPr>
            </w:pPr>
            <w:r w:rsidRPr="00982024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lastRenderedPageBreak/>
              <w:t>Ալիֆատիկ ածխաջրածինների ստանդարտ</w:t>
            </w:r>
          </w:p>
          <w:p w14:paraId="1407001B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Տեսակ – ալիֆատիկ ածխաջրածինների ստանդարտ լուծույթ</w:t>
            </w:r>
          </w:p>
          <w:p w14:paraId="6B9BD65C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Կոնցենտրացիա – 1000 µg/mL</w:t>
            </w:r>
          </w:p>
          <w:p w14:paraId="547B7D5C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Լուծիչ – հեքսան (Hexane)</w:t>
            </w:r>
          </w:p>
          <w:p w14:paraId="208508AB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Փաթեթավորում – ամպուլ</w:t>
            </w:r>
          </w:p>
          <w:p w14:paraId="2AAA3E39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Ծավալ – 1,0 մլ</w:t>
            </w:r>
          </w:p>
          <w:p w14:paraId="6021C9BA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 xml:space="preserve">Նպատակ –  GC վերլուծության համար ալիֆատիկ ֆրակցիայի աստիճանավորում և որակի վերահսկում </w:t>
            </w:r>
          </w:p>
          <w:p w14:paraId="0B44C72E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Համատեղելիություն – GC և GC/MS վերլուծության համար</w:t>
            </w:r>
          </w:p>
          <w:p w14:paraId="6899E4AF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Որակի սերտիֆիկատ – CoA</w:t>
            </w:r>
          </w:p>
          <w:p w14:paraId="72E6F785" w14:textId="77777777" w:rsidR="00AA4939" w:rsidRPr="00643AC0" w:rsidRDefault="00AA4939" w:rsidP="00AA4939">
            <w:pPr>
              <w:spacing w:before="0" w:after="0"/>
              <w:ind w:left="0" w:firstLine="0"/>
              <w:rPr>
                <w:b/>
                <w:sz w:val="18"/>
                <w:szCs w:val="18"/>
                <w:lang w:val="hy-AM"/>
              </w:rPr>
            </w:pPr>
            <w:r w:rsidRPr="000D52AC">
              <w:rPr>
                <w:b/>
                <w:sz w:val="18"/>
                <w:szCs w:val="18"/>
                <w:lang w:val="hy-AM"/>
              </w:rPr>
              <w:t>Կազմ – (C9) ն-նոնան; (C10) ն-դեկան; (C12) ն-դոդեկան; (C14) ն-տետրադեկան; (C16) ն-հեքսադեկան; (C18) ն-օկտադեկան; (C19) ն-նոնադեկան; (C20) ն-էյկոզան; (C22) ն-դոկոզան; (C24) ն-տետրակոզան; (C26) ն-հեքսակոզան; (C28) ն-օկտակոզան; (C30) ն-տրիակոնտան; (C36) ն-հեքսատրիակոնտան</w:t>
            </w:r>
          </w:p>
          <w:p w14:paraId="21B2A360" w14:textId="77777777" w:rsidR="00AA4939" w:rsidRPr="00982024" w:rsidRDefault="00AA4939" w:rsidP="00AA4939">
            <w:pPr>
              <w:pStyle w:val="a6"/>
              <w:numPr>
                <w:ilvl w:val="0"/>
                <w:numId w:val="16"/>
              </w:numPr>
              <w:spacing w:before="0" w:after="0"/>
              <w:ind w:left="0" w:firstLine="0"/>
              <w:rPr>
                <w:rFonts w:ascii="Times New Roman" w:hAnsi="Times New Roman"/>
                <w:b/>
                <w:sz w:val="18"/>
                <w:szCs w:val="18"/>
                <w:lang w:val="hy-AM"/>
              </w:rPr>
            </w:pPr>
            <w:r w:rsidRPr="00982024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Արոմատիկ ածխաջրածինների ստանդարտ</w:t>
            </w:r>
          </w:p>
          <w:p w14:paraId="5D326FAB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4F212D">
              <w:rPr>
                <w:bCs/>
                <w:sz w:val="18"/>
                <w:szCs w:val="18"/>
                <w:lang w:val="hy-AM"/>
              </w:rPr>
              <w:t xml:space="preserve">Տեսակ – </w:t>
            </w:r>
            <w:r w:rsidRPr="00AA4939">
              <w:rPr>
                <w:sz w:val="14"/>
                <w:szCs w:val="14"/>
                <w:lang w:val="hy-AM"/>
              </w:rPr>
              <w:t>արոմատիկ ածխաջրածինների ստանդարտ լուծույթ</w:t>
            </w:r>
          </w:p>
          <w:p w14:paraId="72F2CC22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Կոնցենտրացիա – 1000 µg/mL</w:t>
            </w:r>
          </w:p>
          <w:p w14:paraId="678E2C76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Լուծիչ – Մեթիլեն քլորիդ</w:t>
            </w:r>
          </w:p>
          <w:p w14:paraId="544C8B4D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Փաթեթավորում – ամպուլ</w:t>
            </w:r>
          </w:p>
          <w:p w14:paraId="1788DA0C" w14:textId="77777777" w:rsidR="00AA4939" w:rsidRPr="004F212D" w:rsidRDefault="00AA4939" w:rsidP="00AA4939">
            <w:pPr>
              <w:spacing w:before="0" w:after="0"/>
              <w:ind w:left="0" w:firstLine="0"/>
              <w:rPr>
                <w:bCs/>
                <w:sz w:val="18"/>
                <w:szCs w:val="18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Ծավալ – 1,0</w:t>
            </w:r>
            <w:r w:rsidRPr="004F212D">
              <w:rPr>
                <w:bCs/>
                <w:sz w:val="18"/>
                <w:szCs w:val="18"/>
                <w:lang w:val="hy-AM"/>
              </w:rPr>
              <w:t xml:space="preserve"> մլ</w:t>
            </w:r>
          </w:p>
          <w:p w14:paraId="7821C65D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 xml:space="preserve">Նպատակ –  GC վերլուծության համար արոմատիկ ֆրակցիայի աստիճանավորում և որակի վերահսկում </w:t>
            </w:r>
          </w:p>
          <w:p w14:paraId="42C3CCFB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Համատեղելիություն – GC և GC/MS վերլուծության համար</w:t>
            </w:r>
            <w:r w:rsidRPr="00AA4939">
              <w:rPr>
                <w:sz w:val="14"/>
                <w:szCs w:val="14"/>
                <w:lang w:val="hy-AM"/>
              </w:rPr>
              <w:br/>
              <w:t>Որակի սերտիֆիկատ – CoA</w:t>
            </w:r>
          </w:p>
          <w:p w14:paraId="6C9B81F0" w14:textId="77777777" w:rsidR="00AA4939" w:rsidRPr="00643AC0" w:rsidRDefault="00AA4939" w:rsidP="00AA4939">
            <w:pPr>
              <w:spacing w:before="0" w:after="0"/>
              <w:ind w:left="0" w:firstLine="0"/>
              <w:rPr>
                <w:b/>
                <w:sz w:val="18"/>
                <w:szCs w:val="18"/>
              </w:rPr>
            </w:pPr>
            <w:r w:rsidRPr="00AA4939">
              <w:rPr>
                <w:sz w:val="14"/>
                <w:szCs w:val="14"/>
                <w:lang w:val="hy-AM"/>
              </w:rPr>
              <w:t>Կազմ – Acenaphthene; Acenaphthylene</w:t>
            </w:r>
            <w:r w:rsidRPr="000D52AC">
              <w:rPr>
                <w:b/>
                <w:sz w:val="18"/>
                <w:szCs w:val="18"/>
              </w:rPr>
              <w:t>; Anthracene; Benz[a]anthracene; Benzo[a]pyrene; Benzo[b]fluoranthene; Benzo[k]fluoranthene; Benzo[g,h,i]perylene; Chrysene; Dibenz[a,h]anthracene; Fluoranthene; Fluorene; Indeno[1,2,3-cd]pyrene; 2-Methylnaphthalene; Naphthalene; Phenanthrene; Pyrene</w:t>
            </w:r>
          </w:p>
          <w:p w14:paraId="24D4BC57" w14:textId="77777777" w:rsidR="00AA4939" w:rsidRPr="00643AC0" w:rsidRDefault="00AA4939" w:rsidP="00AA4939">
            <w:pPr>
              <w:spacing w:before="0" w:after="0"/>
              <w:ind w:left="0" w:firstLine="0"/>
              <w:rPr>
                <w:b/>
                <w:sz w:val="18"/>
                <w:szCs w:val="18"/>
              </w:rPr>
            </w:pPr>
          </w:p>
          <w:p w14:paraId="104A1BAB" w14:textId="77777777" w:rsidR="00AA4939" w:rsidRPr="00982024" w:rsidRDefault="00AA4939" w:rsidP="00AA4939">
            <w:pPr>
              <w:pStyle w:val="a6"/>
              <w:numPr>
                <w:ilvl w:val="0"/>
                <w:numId w:val="16"/>
              </w:numPr>
              <w:spacing w:before="0" w:after="0"/>
              <w:ind w:left="0" w:firstLine="0"/>
              <w:rPr>
                <w:rFonts w:ascii="Times New Roman" w:hAnsi="Times New Roman"/>
                <w:b/>
                <w:sz w:val="18"/>
                <w:szCs w:val="18"/>
                <w:lang w:val="hy-AM"/>
              </w:rPr>
            </w:pPr>
            <w:r w:rsidRPr="00982024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Ալիֆատիկ/Արոմատիկ ածխաջրածինների ստանդարտ</w:t>
            </w:r>
          </w:p>
          <w:p w14:paraId="06141C3B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Տեսակ – ալիֆատիկ /արոմատիկ ածխաջրածինների ստանդարտ լուծույթ</w:t>
            </w:r>
          </w:p>
          <w:p w14:paraId="4C8BC43F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Կոնցենտրացիա – 2000 µg/mL</w:t>
            </w:r>
          </w:p>
          <w:p w14:paraId="28F4834C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Լուծիչ – Մեթանոլ</w:t>
            </w:r>
          </w:p>
          <w:p w14:paraId="475DCF5A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Փաթեթավորում – ամպուլ</w:t>
            </w:r>
          </w:p>
          <w:p w14:paraId="74E89A3E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Ծավալ – 1,0 մլ</w:t>
            </w:r>
          </w:p>
          <w:p w14:paraId="1A72219B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 xml:space="preserve">Նպատակ –  GC վերլուծության համար ալիֆատիկ/արոմատիկ ֆրակցիայի </w:t>
            </w:r>
            <w:r w:rsidRPr="00AA4939">
              <w:rPr>
                <w:sz w:val="14"/>
                <w:szCs w:val="14"/>
                <w:lang w:val="hy-AM"/>
              </w:rPr>
              <w:lastRenderedPageBreak/>
              <w:t xml:space="preserve">աստիճանավորում և որակի վերահսկում </w:t>
            </w:r>
          </w:p>
          <w:p w14:paraId="277FEC23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Համատեղելիություն – GC և GC/MS վերլուծության համար</w:t>
            </w:r>
            <w:r w:rsidRPr="00AA4939">
              <w:rPr>
                <w:sz w:val="14"/>
                <w:szCs w:val="14"/>
                <w:lang w:val="hy-AM"/>
              </w:rPr>
              <w:br/>
              <w:t>Որակի սերտիֆիկատ – CoA</w:t>
            </w:r>
          </w:p>
          <w:p w14:paraId="7192B05C" w14:textId="77777777" w:rsidR="00AA4939" w:rsidRPr="00643AC0" w:rsidRDefault="00AA4939" w:rsidP="00AA4939">
            <w:pPr>
              <w:spacing w:before="0" w:after="0"/>
              <w:ind w:left="0" w:firstLine="0"/>
              <w:rPr>
                <w:b/>
                <w:sz w:val="18"/>
                <w:szCs w:val="18"/>
                <w:lang w:val="hy-AM"/>
              </w:rPr>
            </w:pPr>
            <w:r w:rsidRPr="00D50389">
              <w:rPr>
                <w:b/>
                <w:sz w:val="18"/>
                <w:szCs w:val="18"/>
                <w:lang w:val="hy-AM"/>
              </w:rPr>
              <w:t>Կազմ – Benzene; Ethylbenzene; 1-Ethyl-2-methylbenzene; 1-Ethyl-3-methylbenzene; 1-Ethyl-4-methylbenzene; Isopropylbenzene (cumene); n-Propylbenzene; Toluene; 1,2,3-Trimethylbenzene; 1,2,4-Trimethylbenzene; 1,3,5-Trimethylbenzene; m-Xylene; o-Xylene; p-Xylene</w:t>
            </w:r>
          </w:p>
          <w:p w14:paraId="2384BBB9" w14:textId="77777777" w:rsidR="00AA4939" w:rsidRPr="00643AC0" w:rsidRDefault="00AA4939" w:rsidP="00AA4939">
            <w:pPr>
              <w:spacing w:before="0" w:after="0"/>
              <w:ind w:left="0" w:firstLine="0"/>
              <w:rPr>
                <w:b/>
                <w:sz w:val="18"/>
                <w:szCs w:val="18"/>
                <w:lang w:val="hy-AM"/>
              </w:rPr>
            </w:pPr>
          </w:p>
          <w:p w14:paraId="36227D40" w14:textId="77777777" w:rsidR="00AA4939" w:rsidRPr="00982024" w:rsidRDefault="00AA4939" w:rsidP="00AA4939">
            <w:pPr>
              <w:pStyle w:val="a6"/>
              <w:numPr>
                <w:ilvl w:val="0"/>
                <w:numId w:val="16"/>
              </w:numPr>
              <w:spacing w:before="0" w:after="0"/>
              <w:ind w:left="0" w:firstLine="0"/>
              <w:rPr>
                <w:rFonts w:ascii="Times New Roman" w:hAnsi="Times New Roman"/>
                <w:b/>
                <w:sz w:val="18"/>
                <w:szCs w:val="18"/>
                <w:lang w:val="hy-AM"/>
              </w:rPr>
            </w:pPr>
            <w:r w:rsidRPr="00982024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Պեստիցիդների ստանդարտ (508.1 Calibration Mix #3)</w:t>
            </w:r>
          </w:p>
          <w:p w14:paraId="642BE04E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Տեսակ – պեստիցիդների ստանդարտ լուծույթ (աստիճանավորման խառնուրդ)</w:t>
            </w:r>
          </w:p>
          <w:p w14:paraId="02490B4C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Կոնցենտրացիա – 500 µg/mL (յուրաքանչյուր բաղադրիչ)</w:t>
            </w:r>
          </w:p>
          <w:p w14:paraId="474318DB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Լուծիչ – էթիլացետատ (Ethyl acetate)</w:t>
            </w:r>
          </w:p>
          <w:p w14:paraId="741D76E1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Փաթեթավորում – ամպուլ</w:t>
            </w:r>
          </w:p>
          <w:p w14:paraId="2966871B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Ծավալ – 1,0 մլ</w:t>
            </w:r>
          </w:p>
          <w:p w14:paraId="5D59E9E7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Նպատակ –  GC վերլուծության համար պեստիցիդների ստանդարտ լուծույթ աստիճանավորում և որակի վերահսկում (EPA 508.1 մեթոդ)</w:t>
            </w:r>
          </w:p>
          <w:p w14:paraId="5D6F2D9D" w14:textId="77777777" w:rsidR="00AA4939" w:rsidRPr="004F212D" w:rsidRDefault="00AA4939" w:rsidP="00AA4939">
            <w:pPr>
              <w:spacing w:before="0" w:after="0"/>
              <w:ind w:left="0" w:firstLine="0"/>
              <w:rPr>
                <w:sz w:val="18"/>
                <w:szCs w:val="18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Համատեղելիություն – GC և GC/MS վերլուծության համար</w:t>
            </w:r>
            <w:r w:rsidRPr="00AA4939">
              <w:rPr>
                <w:sz w:val="14"/>
                <w:szCs w:val="14"/>
                <w:lang w:val="hy-AM"/>
              </w:rPr>
              <w:br/>
            </w:r>
            <w:r w:rsidRPr="004F212D">
              <w:rPr>
                <w:sz w:val="18"/>
                <w:szCs w:val="18"/>
                <w:lang w:val="hy-AM"/>
              </w:rPr>
              <w:t xml:space="preserve">Որակի սերտիֆիկատ </w:t>
            </w:r>
            <w:r w:rsidRPr="004F212D">
              <w:rPr>
                <w:bCs/>
                <w:sz w:val="18"/>
                <w:szCs w:val="18"/>
                <w:lang w:val="hy-AM"/>
              </w:rPr>
              <w:t>–</w:t>
            </w:r>
            <w:r w:rsidRPr="004F212D">
              <w:rPr>
                <w:sz w:val="18"/>
                <w:szCs w:val="18"/>
                <w:lang w:val="hy-AM"/>
              </w:rPr>
              <w:t xml:space="preserve"> CoA</w:t>
            </w:r>
          </w:p>
          <w:p w14:paraId="0D35D30E" w14:textId="77777777" w:rsidR="00AA4939" w:rsidRDefault="00AA4939" w:rsidP="00AA4939">
            <w:pPr>
              <w:spacing w:before="0" w:after="0"/>
              <w:ind w:left="0" w:firstLine="0"/>
              <w:rPr>
                <w:b/>
                <w:sz w:val="18"/>
                <w:szCs w:val="18"/>
              </w:rPr>
            </w:pPr>
            <w:r w:rsidRPr="0020259B">
              <w:rPr>
                <w:b/>
                <w:sz w:val="18"/>
                <w:szCs w:val="18"/>
              </w:rPr>
              <w:t>Կազմ – Alachlor, Atrazine, Chlorothalonil, Cyanazine, Hexachlorocyclopentadiene, Metolachlor, Metribuzin, Simazine</w:t>
            </w:r>
          </w:p>
          <w:p w14:paraId="64EE6C97" w14:textId="77777777" w:rsidR="00AA4939" w:rsidRPr="00643AC0" w:rsidRDefault="00AA4939" w:rsidP="00AA4939">
            <w:pPr>
              <w:spacing w:before="0" w:after="0"/>
              <w:ind w:left="0" w:firstLine="0"/>
              <w:rPr>
                <w:b/>
                <w:sz w:val="18"/>
                <w:szCs w:val="18"/>
              </w:rPr>
            </w:pPr>
          </w:p>
          <w:p w14:paraId="29C8D903" w14:textId="77777777" w:rsidR="00AA4939" w:rsidRPr="00982024" w:rsidRDefault="00AA4939" w:rsidP="00AA4939">
            <w:pPr>
              <w:pStyle w:val="a6"/>
              <w:numPr>
                <w:ilvl w:val="0"/>
                <w:numId w:val="16"/>
              </w:numPr>
              <w:spacing w:before="0" w:after="0"/>
              <w:ind w:left="0" w:firstLine="0"/>
              <w:rPr>
                <w:rFonts w:ascii="Times New Roman" w:hAnsi="Times New Roman"/>
                <w:b/>
                <w:sz w:val="18"/>
                <w:szCs w:val="18"/>
                <w:lang w:val="hy-AM"/>
              </w:rPr>
            </w:pPr>
            <w:r w:rsidRPr="00982024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Պեստիցիդների ստանդարտ (</w:t>
            </w:r>
            <w:r w:rsidRPr="00982024">
              <w:rPr>
                <w:rFonts w:ascii="Times New Roman" w:hAnsi="Times New Roman"/>
                <w:b/>
                <w:sz w:val="18"/>
                <w:szCs w:val="18"/>
              </w:rPr>
              <w:t>EPA 505</w:t>
            </w:r>
            <w:r w:rsidRPr="00982024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>)</w:t>
            </w:r>
          </w:p>
          <w:p w14:paraId="193A211B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Տեսակ – պեստիցիդների ստանդարտ լուծույթ (աստիճանավորման խառնուրդ)</w:t>
            </w:r>
          </w:p>
          <w:p w14:paraId="6614DA8E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Կոնցենտրացիա – 200 µg/mL (յուրաքանչյուր բաղադրիչ)</w:t>
            </w:r>
          </w:p>
          <w:p w14:paraId="491159F2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Լուծիչ – մեթանոլ (Methanol)</w:t>
            </w:r>
          </w:p>
          <w:p w14:paraId="39B46305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Փաթեթավորում – ամպուլ</w:t>
            </w:r>
          </w:p>
          <w:p w14:paraId="584782F1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Ծավալ – 1,0 մլ</w:t>
            </w:r>
          </w:p>
          <w:p w14:paraId="4A77465F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Նպատակ –  GC վերլուծության համար պեստիցիդների ստանդարտ լուծույթ աստիճանավորում և որակի վերահսկում (EPA 505 մեթոդ)</w:t>
            </w:r>
          </w:p>
          <w:p w14:paraId="5CD376CA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Համատեղելիություն – GC և GC/MS վերլուծության համար</w:t>
            </w:r>
            <w:r w:rsidRPr="00AA4939">
              <w:rPr>
                <w:sz w:val="14"/>
                <w:szCs w:val="14"/>
                <w:lang w:val="hy-AM"/>
              </w:rPr>
              <w:br/>
              <w:t>Որակի սերտիֆիկատ – CoA</w:t>
            </w:r>
          </w:p>
          <w:p w14:paraId="3780F9C7" w14:textId="77777777" w:rsidR="00AA4939" w:rsidRDefault="00AA4939" w:rsidP="00AA4939">
            <w:pPr>
              <w:spacing w:before="0" w:after="0"/>
              <w:ind w:left="0" w:firstLine="0"/>
              <w:rPr>
                <w:b/>
                <w:sz w:val="18"/>
                <w:szCs w:val="18"/>
              </w:rPr>
            </w:pPr>
            <w:r w:rsidRPr="0020259B">
              <w:rPr>
                <w:b/>
                <w:sz w:val="18"/>
                <w:szCs w:val="18"/>
              </w:rPr>
              <w:t xml:space="preserve">Կազմ – </w:t>
            </w:r>
            <w:r w:rsidRPr="00522C4C">
              <w:rPr>
                <w:b/>
                <w:sz w:val="18"/>
                <w:szCs w:val="18"/>
              </w:rPr>
              <w:t>Aldrin, Alachlor, Atrazine, γ-BHC (Lindane), cis-Chlordane, trans-Chlordane, Dieldrin, Endrin, Heptachlor, Heptachlor epoxide, Hexachlorobenzene, Hexachlorocyclopentadiene, Methoxychlor, cis-Nonachlor, trans-Nonachlor, Simazine</w:t>
            </w:r>
          </w:p>
          <w:p w14:paraId="69FB0B53" w14:textId="77777777" w:rsidR="00AA4939" w:rsidRPr="00643AC0" w:rsidRDefault="00AA4939" w:rsidP="00AA4939">
            <w:pPr>
              <w:spacing w:before="0" w:after="0"/>
              <w:ind w:left="0" w:firstLine="0"/>
              <w:rPr>
                <w:b/>
                <w:sz w:val="18"/>
                <w:szCs w:val="18"/>
              </w:rPr>
            </w:pPr>
          </w:p>
          <w:p w14:paraId="5EEE6CA8" w14:textId="77777777" w:rsidR="00AA4939" w:rsidRPr="00643AC0" w:rsidRDefault="00AA4939" w:rsidP="00AA4939">
            <w:pPr>
              <w:spacing w:before="0" w:after="0"/>
              <w:ind w:left="0" w:firstLine="0"/>
              <w:rPr>
                <w:b/>
                <w:sz w:val="18"/>
                <w:szCs w:val="18"/>
              </w:rPr>
            </w:pPr>
          </w:p>
          <w:p w14:paraId="7BCB4C62" w14:textId="77777777" w:rsidR="00AA4939" w:rsidRPr="00982024" w:rsidRDefault="00AA4939" w:rsidP="00AA4939">
            <w:pPr>
              <w:pStyle w:val="a6"/>
              <w:numPr>
                <w:ilvl w:val="0"/>
                <w:numId w:val="16"/>
              </w:numPr>
              <w:spacing w:before="0" w:after="0"/>
              <w:ind w:left="0"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82024">
              <w:rPr>
                <w:rFonts w:ascii="Times New Roman" w:hAnsi="Times New Roman"/>
                <w:b/>
                <w:sz w:val="18"/>
                <w:szCs w:val="18"/>
                <w:lang w:val="hy-AM"/>
              </w:rPr>
              <w:t xml:space="preserve">Պեստիցիդների ստանդարտ </w:t>
            </w:r>
          </w:p>
          <w:p w14:paraId="413E4642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4F212D">
              <w:rPr>
                <w:bCs/>
                <w:sz w:val="18"/>
                <w:szCs w:val="18"/>
                <w:lang w:val="hy-AM"/>
              </w:rPr>
              <w:t xml:space="preserve">Տեսակ – </w:t>
            </w:r>
            <w:r w:rsidRPr="00AA4939">
              <w:rPr>
                <w:sz w:val="14"/>
                <w:szCs w:val="14"/>
                <w:lang w:val="hy-AM"/>
              </w:rPr>
              <w:t>պեստիցիդների ստանդարտ լուծույթ (աստիճանավորման խառնուրդ)</w:t>
            </w:r>
          </w:p>
          <w:p w14:paraId="0D1A3928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Կոնցենտրացիա – 2000 µg/mL (յուրաքանչյուր բաղադրիչ)</w:t>
            </w:r>
          </w:p>
          <w:p w14:paraId="420F6B94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Լուծիչ – հեքսան : տոլուոլ (1:1) խառնուրդ</w:t>
            </w:r>
          </w:p>
          <w:p w14:paraId="649EE182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Փաթեթավորում – ամպուլ</w:t>
            </w:r>
          </w:p>
          <w:p w14:paraId="3E3E22C6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Ծավալ – 1,0 մլ</w:t>
            </w:r>
          </w:p>
          <w:p w14:paraId="70C8EB01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>Նպատակ –  GC վերլուծության համար պեստիցիդների ստանդարտ լուծույթ աստիճանավորում և որակի վերահսկում (EPA 505 մեթոդ)</w:t>
            </w:r>
          </w:p>
          <w:p w14:paraId="66EC86D6" w14:textId="77777777" w:rsidR="00AA4939" w:rsidRPr="00AA4939" w:rsidRDefault="00AA4939" w:rsidP="00AA4939">
            <w:pPr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r w:rsidRPr="00AA4939">
              <w:rPr>
                <w:sz w:val="14"/>
                <w:szCs w:val="14"/>
                <w:lang w:val="hy-AM"/>
              </w:rPr>
              <w:t xml:space="preserve">Համատեղելիություն – GC և GC/MS </w:t>
            </w:r>
            <w:r w:rsidRPr="00AA4939">
              <w:rPr>
                <w:sz w:val="14"/>
                <w:szCs w:val="14"/>
                <w:lang w:val="hy-AM"/>
              </w:rPr>
              <w:lastRenderedPageBreak/>
              <w:t>վերլուծության համար</w:t>
            </w:r>
            <w:r w:rsidRPr="00AA4939">
              <w:rPr>
                <w:sz w:val="14"/>
                <w:szCs w:val="14"/>
                <w:lang w:val="hy-AM"/>
              </w:rPr>
              <w:br/>
              <w:t>Որակի սերտիֆիկատ – CoA</w:t>
            </w:r>
          </w:p>
          <w:p w14:paraId="731228BA" w14:textId="1AFDBB27" w:rsidR="00AA4939" w:rsidRPr="00DA5FC7" w:rsidRDefault="00AA4939" w:rsidP="00AA4939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912B87">
              <w:rPr>
                <w:b/>
                <w:sz w:val="18"/>
                <w:szCs w:val="18"/>
                <w:lang w:val="hy-AM"/>
              </w:rPr>
              <w:t xml:space="preserve">Կազմ – Aldrin, </w:t>
            </w:r>
            <w:r w:rsidRPr="00912B87">
              <w:rPr>
                <w:b/>
                <w:sz w:val="18"/>
                <w:szCs w:val="18"/>
              </w:rPr>
              <w:t>α</w:t>
            </w:r>
            <w:r w:rsidRPr="00912B87">
              <w:rPr>
                <w:b/>
                <w:sz w:val="18"/>
                <w:szCs w:val="18"/>
                <w:lang w:val="hy-AM"/>
              </w:rPr>
              <w:t xml:space="preserve">-BHC, </w:t>
            </w:r>
            <w:r w:rsidRPr="00912B87">
              <w:rPr>
                <w:b/>
                <w:sz w:val="18"/>
                <w:szCs w:val="18"/>
              </w:rPr>
              <w:t>β</w:t>
            </w:r>
            <w:r w:rsidRPr="00912B87">
              <w:rPr>
                <w:b/>
                <w:sz w:val="18"/>
                <w:szCs w:val="18"/>
                <w:lang w:val="hy-AM"/>
              </w:rPr>
              <w:t xml:space="preserve">-BHC, </w:t>
            </w:r>
            <w:r w:rsidRPr="00912B87">
              <w:rPr>
                <w:b/>
                <w:sz w:val="18"/>
                <w:szCs w:val="18"/>
              </w:rPr>
              <w:t>γ</w:t>
            </w:r>
            <w:r w:rsidRPr="00912B87">
              <w:rPr>
                <w:b/>
                <w:sz w:val="18"/>
                <w:szCs w:val="18"/>
                <w:lang w:val="hy-AM"/>
              </w:rPr>
              <w:t xml:space="preserve">-BHC (Lindane), </w:t>
            </w:r>
            <w:r w:rsidRPr="00912B87">
              <w:rPr>
                <w:b/>
                <w:sz w:val="18"/>
                <w:szCs w:val="18"/>
              </w:rPr>
              <w:t>δ</w:t>
            </w:r>
            <w:r w:rsidRPr="00912B87">
              <w:rPr>
                <w:b/>
                <w:sz w:val="18"/>
                <w:szCs w:val="18"/>
                <w:lang w:val="hy-AM"/>
              </w:rPr>
              <w:t>-BHC, cis-Chlordane, trans-Chlordane, 4,4'-DDD, 4,4'-DDE, 4,4'-DDT, Dieldrin, Endosulfan I, Endosulfan II, Endosulfan sulfate, Endrin, Endrin aldehyde, Endrin ketone, Heptachlor, Heptachlor epoxide (isomer B), Methoxychlor</w:t>
            </w:r>
          </w:p>
        </w:tc>
      </w:tr>
      <w:tr w:rsidR="00AA4939" w:rsidRPr="00AA4939" w14:paraId="6F4E5ADE" w14:textId="77777777" w:rsidTr="007A46B0">
        <w:trPr>
          <w:trHeight w:val="60"/>
        </w:trPr>
        <w:tc>
          <w:tcPr>
            <w:tcW w:w="567" w:type="dxa"/>
            <w:shd w:val="clear" w:color="auto" w:fill="auto"/>
            <w:vAlign w:val="center"/>
          </w:tcPr>
          <w:p w14:paraId="3AF842CC" w14:textId="1AD18B9A" w:rsidR="00AA4939" w:rsidRDefault="00AA4939" w:rsidP="00AA4939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1275E4E" w14:textId="7666FAF0" w:rsidR="00AA4939" w:rsidRPr="0042736D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lang w:val="hy-AM"/>
              </w:rPr>
            </w:pPr>
            <w:r w:rsidRPr="003C663B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Ներարկիչ գազային ասեղներով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E59BA24" w14:textId="252BFF8E" w:rsidR="00AA4939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1346CED2" w14:textId="3FB0AD58" w:rsidR="00AA4939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1E791CAB" w14:textId="77F6E67A" w:rsidR="00AA4939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</w:pPr>
            <w:r w:rsidRPr="00002CB5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14:paraId="274D7F73" w14:textId="55F4CA88" w:rsidR="00AA4939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31F2283" w14:textId="764A4001" w:rsidR="00AA4939" w:rsidRPr="0020766D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110000</w:t>
            </w:r>
          </w:p>
        </w:tc>
        <w:tc>
          <w:tcPr>
            <w:tcW w:w="255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74ECC" w14:textId="77777777" w:rsidR="00AA4939" w:rsidRDefault="00AA4939" w:rsidP="00AA4939">
            <w:pPr>
              <w:spacing w:before="0" w:after="0"/>
              <w:ind w:left="34" w:hanging="34"/>
              <w:rPr>
                <w:b/>
                <w:sz w:val="18"/>
                <w:szCs w:val="18"/>
                <w:lang w:val="hy-AM"/>
              </w:rPr>
            </w:pPr>
            <w:r>
              <w:rPr>
                <w:b/>
                <w:sz w:val="18"/>
                <w:szCs w:val="18"/>
                <w:lang w:val="hy-AM"/>
              </w:rPr>
              <w:t>Ներարկիչ գազային</w:t>
            </w:r>
          </w:p>
          <w:p w14:paraId="1236C28D" w14:textId="77777777" w:rsidR="00AA4939" w:rsidRDefault="00AA4939" w:rsidP="00AA4939">
            <w:pPr>
              <w:spacing w:before="0" w:after="0"/>
              <w:ind w:left="34" w:hanging="34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Արտադրանքի տեսակ </w:t>
            </w:r>
            <w:r>
              <w:rPr>
                <w:bCs/>
                <w:sz w:val="18"/>
                <w:szCs w:val="18"/>
                <w:lang w:val="hy-AM"/>
              </w:rPr>
              <w:t>–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լաբորատոր ներարկիչ</w:t>
            </w:r>
          </w:p>
          <w:p w14:paraId="59D257EA" w14:textId="77777777" w:rsidR="00AA4939" w:rsidRDefault="00AA4939" w:rsidP="00AA4939">
            <w:pPr>
              <w:spacing w:before="0" w:after="0"/>
              <w:ind w:left="34" w:hanging="34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Աշխատանքային ծավալ </w:t>
            </w:r>
            <w:r>
              <w:rPr>
                <w:bCs/>
                <w:sz w:val="18"/>
                <w:szCs w:val="18"/>
                <w:lang w:val="hy-AM"/>
              </w:rPr>
              <w:t>–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1,0 մլ</w:t>
            </w:r>
          </w:p>
          <w:p w14:paraId="75838ACA" w14:textId="77777777" w:rsidR="00AA4939" w:rsidRDefault="00AA4939" w:rsidP="00AA4939">
            <w:pPr>
              <w:spacing w:before="0" w:after="0"/>
              <w:ind w:left="34" w:hanging="34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Ներարկիչի նյութ </w:t>
            </w:r>
            <w:r>
              <w:rPr>
                <w:bCs/>
                <w:sz w:val="18"/>
                <w:szCs w:val="18"/>
                <w:lang w:val="hy-AM"/>
              </w:rPr>
              <w:t>–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ապակի</w:t>
            </w:r>
          </w:p>
          <w:p w14:paraId="52705EF8" w14:textId="77777777" w:rsidR="00AA4939" w:rsidRDefault="00AA4939" w:rsidP="00AA4939">
            <w:pPr>
              <w:spacing w:before="0" w:after="0"/>
              <w:ind w:left="34" w:hanging="34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Ասեղի միացման տեսակ </w:t>
            </w:r>
            <w:r>
              <w:rPr>
                <w:bCs/>
                <w:sz w:val="18"/>
                <w:szCs w:val="18"/>
                <w:lang w:val="hy-AM"/>
              </w:rPr>
              <w:t>–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Luer-Lock</w:t>
            </w:r>
          </w:p>
          <w:p w14:paraId="3BF82609" w14:textId="77777777" w:rsidR="00AA4939" w:rsidRDefault="00AA4939" w:rsidP="00AA4939">
            <w:pPr>
              <w:spacing w:before="0" w:after="0"/>
              <w:ind w:left="34" w:hanging="34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Փականի տեսակ </w:t>
            </w:r>
            <w:r>
              <w:rPr>
                <w:bCs/>
                <w:sz w:val="18"/>
                <w:szCs w:val="18"/>
                <w:lang w:val="hy-AM"/>
              </w:rPr>
              <w:t xml:space="preserve">–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push-pull</w:t>
            </w:r>
          </w:p>
          <w:p w14:paraId="39D80E39" w14:textId="77777777" w:rsidR="00AA4939" w:rsidRDefault="00AA4939" w:rsidP="00AA4939">
            <w:pPr>
              <w:spacing w:before="0" w:after="0"/>
              <w:ind w:left="34" w:hanging="34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Մխոցի նյութ </w:t>
            </w:r>
            <w:r>
              <w:rPr>
                <w:bCs/>
                <w:sz w:val="18"/>
                <w:szCs w:val="18"/>
                <w:lang w:val="hy-AM"/>
              </w:rPr>
              <w:t>–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PTFE (տեֆլոն)</w:t>
            </w:r>
          </w:p>
          <w:p w14:paraId="30A66A37" w14:textId="77777777" w:rsidR="00AA4939" w:rsidRDefault="00AA4939" w:rsidP="00AA4939">
            <w:pPr>
              <w:spacing w:before="0" w:after="0"/>
              <w:ind w:left="34" w:hanging="34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Համատեղելիություն </w:t>
            </w:r>
            <w:r>
              <w:rPr>
                <w:bCs/>
                <w:sz w:val="18"/>
                <w:szCs w:val="18"/>
                <w:lang w:val="hy-AM"/>
              </w:rPr>
              <w:t>–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GC և GC/MS վերլուծության համար</w:t>
            </w:r>
          </w:p>
          <w:p w14:paraId="7B457AB9" w14:textId="77777777" w:rsidR="00AA4939" w:rsidRDefault="00AA4939" w:rsidP="00AA4939">
            <w:pPr>
              <w:spacing w:before="0" w:after="0"/>
              <w:ind w:left="34" w:hanging="34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Գազային հերմետիկություն </w:t>
            </w:r>
            <w:r>
              <w:rPr>
                <w:bCs/>
                <w:sz w:val="18"/>
                <w:szCs w:val="18"/>
                <w:lang w:val="hy-AM"/>
              </w:rPr>
              <w:t xml:space="preserve">–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gas-tight (նախատեսված է գազային նմուշների հետ աշխատանքի համար, հերմետիկ)</w:t>
            </w:r>
          </w:p>
          <w:p w14:paraId="3381F4A2" w14:textId="77777777" w:rsidR="00AA4939" w:rsidRDefault="00AA4939" w:rsidP="00AA4939">
            <w:pPr>
              <w:spacing w:before="0" w:after="0"/>
              <w:ind w:left="34" w:hanging="34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Օգտագործվող ասեղների տեսակ </w:t>
            </w:r>
            <w:r>
              <w:rPr>
                <w:bCs/>
                <w:sz w:val="18"/>
                <w:szCs w:val="18"/>
                <w:lang w:val="hy-AM"/>
              </w:rPr>
              <w:t>–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փոխարինվող Luer-Lock</w:t>
            </w:r>
          </w:p>
          <w:p w14:paraId="1B92B435" w14:textId="77777777" w:rsidR="00AA4939" w:rsidRDefault="00AA4939" w:rsidP="00AA4939">
            <w:pPr>
              <w:spacing w:before="0" w:after="0"/>
              <w:ind w:left="34" w:hanging="34"/>
              <w:rPr>
                <w:b/>
                <w:sz w:val="18"/>
                <w:szCs w:val="18"/>
                <w:lang w:val="hy-AM"/>
              </w:rPr>
            </w:pPr>
            <w:r>
              <w:rPr>
                <w:b/>
                <w:sz w:val="18"/>
                <w:szCs w:val="18"/>
                <w:lang w:val="hy-AM"/>
              </w:rPr>
              <w:t>Ասեղներ գազային ներարկչի համար</w:t>
            </w:r>
          </w:p>
          <w:p w14:paraId="6618286C" w14:textId="77777777" w:rsidR="00AA4939" w:rsidRDefault="00AA4939" w:rsidP="00AA4939">
            <w:pPr>
              <w:spacing w:before="0" w:after="0"/>
              <w:ind w:left="34" w:hanging="34"/>
              <w:rPr>
                <w:bCs/>
                <w:sz w:val="18"/>
                <w:szCs w:val="18"/>
                <w:lang w:val="hy-AM"/>
              </w:rPr>
            </w:pPr>
            <w:r>
              <w:rPr>
                <w:bCs/>
                <w:sz w:val="18"/>
                <w:szCs w:val="18"/>
                <w:lang w:val="hy-AM"/>
              </w:rPr>
              <w:t>Արտադրանքի տեսակ – փոխարինվող ասեղ ներարկչի համար</w:t>
            </w:r>
          </w:p>
          <w:p w14:paraId="47D3A8E7" w14:textId="77777777" w:rsidR="00AA4939" w:rsidRDefault="00AA4939" w:rsidP="00AA4939">
            <w:pPr>
              <w:spacing w:before="0" w:after="0"/>
              <w:ind w:left="34" w:hanging="34"/>
              <w:rPr>
                <w:bCs/>
                <w:sz w:val="18"/>
                <w:szCs w:val="18"/>
                <w:lang w:val="hy-AM"/>
              </w:rPr>
            </w:pPr>
            <w:r>
              <w:rPr>
                <w:bCs/>
                <w:sz w:val="18"/>
                <w:szCs w:val="18"/>
                <w:lang w:val="hy-AM"/>
              </w:rPr>
              <w:t>Միացման տեսակ – Luer-Lo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c</w:t>
            </w:r>
            <w:r>
              <w:rPr>
                <w:bCs/>
                <w:sz w:val="18"/>
                <w:szCs w:val="18"/>
                <w:lang w:val="hy-AM"/>
              </w:rPr>
              <w:t>k</w:t>
            </w:r>
          </w:p>
          <w:p w14:paraId="1E036E73" w14:textId="77777777" w:rsidR="00AA4939" w:rsidRDefault="00AA4939" w:rsidP="00AA4939">
            <w:pPr>
              <w:spacing w:before="0" w:after="0"/>
              <w:ind w:left="34" w:hanging="34"/>
              <w:rPr>
                <w:bCs/>
                <w:sz w:val="18"/>
                <w:szCs w:val="18"/>
                <w:lang w:val="hy-AM"/>
              </w:rPr>
            </w:pPr>
            <w:r>
              <w:rPr>
                <w:bCs/>
                <w:sz w:val="18"/>
                <w:szCs w:val="18"/>
                <w:lang w:val="hy-AM"/>
              </w:rPr>
              <w:t>Ծայրի տեսակ – թեք կտրվածքով (bevel tip)</w:t>
            </w:r>
          </w:p>
          <w:p w14:paraId="04B10507" w14:textId="77777777" w:rsidR="00AA4939" w:rsidRDefault="00AA4939" w:rsidP="00AA4939">
            <w:pPr>
              <w:spacing w:before="0" w:after="0"/>
              <w:ind w:left="34" w:hanging="34"/>
              <w:rPr>
                <w:bCs/>
                <w:sz w:val="18"/>
                <w:szCs w:val="18"/>
                <w:lang w:val="hy-AM"/>
              </w:rPr>
            </w:pPr>
            <w:r>
              <w:rPr>
                <w:bCs/>
                <w:sz w:val="18"/>
                <w:szCs w:val="18"/>
                <w:lang w:val="hy-AM"/>
              </w:rPr>
              <w:t>Ասեղի չափ – 23/50</w:t>
            </w:r>
          </w:p>
          <w:p w14:paraId="161A8974" w14:textId="77777777" w:rsidR="00AA4939" w:rsidRDefault="00AA4939" w:rsidP="00AA4939">
            <w:pPr>
              <w:spacing w:before="0" w:after="0"/>
              <w:ind w:left="34" w:hanging="34"/>
              <w:rPr>
                <w:bCs/>
                <w:sz w:val="18"/>
                <w:szCs w:val="18"/>
                <w:lang w:val="hy-AM"/>
              </w:rPr>
            </w:pPr>
            <w:r>
              <w:rPr>
                <w:bCs/>
                <w:sz w:val="18"/>
                <w:szCs w:val="18"/>
                <w:lang w:val="hy-AM"/>
              </w:rPr>
              <w:t>Փաթեթում քանակ –3 հատ</w:t>
            </w:r>
          </w:p>
          <w:p w14:paraId="1317EB8E" w14:textId="77777777" w:rsidR="00AA4939" w:rsidRDefault="00AA4939" w:rsidP="00AA4939">
            <w:pPr>
              <w:spacing w:before="0" w:after="0"/>
              <w:ind w:left="34" w:hanging="34"/>
              <w:rPr>
                <w:bCs/>
                <w:sz w:val="18"/>
                <w:szCs w:val="18"/>
                <w:lang w:val="hy-AM"/>
              </w:rPr>
            </w:pPr>
            <w:r>
              <w:rPr>
                <w:bCs/>
                <w:sz w:val="18"/>
                <w:szCs w:val="18"/>
                <w:lang w:val="hy-AM"/>
              </w:rPr>
              <w:t>Նշանակություն – GC և GC/MS վերլուծության համար</w:t>
            </w:r>
          </w:p>
          <w:p w14:paraId="17B453D8" w14:textId="77777777" w:rsidR="00AA4939" w:rsidRPr="00870AD3" w:rsidRDefault="00AA4939" w:rsidP="00AA4939">
            <w:pPr>
              <w:spacing w:before="0" w:after="0"/>
              <w:ind w:left="34" w:hanging="34"/>
              <w:rPr>
                <w:b/>
                <w:sz w:val="18"/>
                <w:szCs w:val="18"/>
                <w:lang w:val="hy-AM"/>
              </w:rPr>
            </w:pPr>
            <w:r>
              <w:rPr>
                <w:bCs/>
                <w:sz w:val="18"/>
                <w:szCs w:val="18"/>
                <w:lang w:val="hy-AM"/>
              </w:rPr>
              <w:t>Համատեղելիություն՝ Luer-Lok միացմամբ ներարկիչների հետ</w:t>
            </w:r>
          </w:p>
          <w:p w14:paraId="3C7BDD39" w14:textId="3BEE0A5F" w:rsidR="00AA4939" w:rsidRPr="00DA5FC7" w:rsidRDefault="00AA4939" w:rsidP="00AA4939">
            <w:pPr>
              <w:pStyle w:val="a6"/>
              <w:widowControl w:val="0"/>
              <w:autoSpaceDE w:val="0"/>
              <w:autoSpaceDN w:val="0"/>
              <w:spacing w:before="0" w:after="0"/>
              <w:ind w:left="34" w:hanging="34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55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180DE" w14:textId="77777777" w:rsidR="00AA4939" w:rsidRDefault="00AA4939" w:rsidP="00AA4939">
            <w:pPr>
              <w:spacing w:before="0" w:after="0"/>
              <w:ind w:left="34" w:hanging="34"/>
              <w:rPr>
                <w:b/>
                <w:sz w:val="18"/>
                <w:szCs w:val="18"/>
                <w:lang w:val="hy-AM"/>
              </w:rPr>
            </w:pPr>
            <w:r>
              <w:rPr>
                <w:b/>
                <w:sz w:val="18"/>
                <w:szCs w:val="18"/>
                <w:lang w:val="hy-AM"/>
              </w:rPr>
              <w:t>Ներարկիչ գազային</w:t>
            </w:r>
          </w:p>
          <w:p w14:paraId="3BB972E1" w14:textId="77777777" w:rsidR="00AA4939" w:rsidRDefault="00AA4939" w:rsidP="00AA4939">
            <w:pPr>
              <w:spacing w:before="0" w:after="0"/>
              <w:ind w:left="34" w:hanging="34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Արտադրանքի տեսակ </w:t>
            </w:r>
            <w:r>
              <w:rPr>
                <w:bCs/>
                <w:sz w:val="18"/>
                <w:szCs w:val="18"/>
                <w:lang w:val="hy-AM"/>
              </w:rPr>
              <w:t>–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լաբորատոր ներարկիչ</w:t>
            </w:r>
          </w:p>
          <w:p w14:paraId="5478FE59" w14:textId="77777777" w:rsidR="00AA4939" w:rsidRDefault="00AA4939" w:rsidP="00AA4939">
            <w:pPr>
              <w:spacing w:before="0" w:after="0"/>
              <w:ind w:left="34" w:hanging="34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Աշխատանքային ծավալ </w:t>
            </w:r>
            <w:r>
              <w:rPr>
                <w:bCs/>
                <w:sz w:val="18"/>
                <w:szCs w:val="18"/>
                <w:lang w:val="hy-AM"/>
              </w:rPr>
              <w:t>–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1,0 մլ</w:t>
            </w:r>
          </w:p>
          <w:p w14:paraId="40C289A7" w14:textId="77777777" w:rsidR="00AA4939" w:rsidRDefault="00AA4939" w:rsidP="00AA4939">
            <w:pPr>
              <w:spacing w:before="0" w:after="0"/>
              <w:ind w:left="34" w:hanging="34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Ներարկիչի նյութ </w:t>
            </w:r>
            <w:r>
              <w:rPr>
                <w:bCs/>
                <w:sz w:val="18"/>
                <w:szCs w:val="18"/>
                <w:lang w:val="hy-AM"/>
              </w:rPr>
              <w:t>–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ապակի</w:t>
            </w:r>
          </w:p>
          <w:p w14:paraId="0227A609" w14:textId="77777777" w:rsidR="00AA4939" w:rsidRDefault="00AA4939" w:rsidP="00AA4939">
            <w:pPr>
              <w:spacing w:before="0" w:after="0"/>
              <w:ind w:left="34" w:hanging="34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Ասեղի միացման տեսակ </w:t>
            </w:r>
            <w:r>
              <w:rPr>
                <w:bCs/>
                <w:sz w:val="18"/>
                <w:szCs w:val="18"/>
                <w:lang w:val="hy-AM"/>
              </w:rPr>
              <w:t>–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Luer-Lock</w:t>
            </w:r>
          </w:p>
          <w:p w14:paraId="46195CFE" w14:textId="77777777" w:rsidR="00AA4939" w:rsidRDefault="00AA4939" w:rsidP="00AA4939">
            <w:pPr>
              <w:spacing w:before="0" w:after="0"/>
              <w:ind w:left="34" w:hanging="34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Փականի տեսակ </w:t>
            </w:r>
            <w:r>
              <w:rPr>
                <w:bCs/>
                <w:sz w:val="18"/>
                <w:szCs w:val="18"/>
                <w:lang w:val="hy-AM"/>
              </w:rPr>
              <w:t xml:space="preserve">–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push-pull</w:t>
            </w:r>
          </w:p>
          <w:p w14:paraId="56115F2E" w14:textId="77777777" w:rsidR="00AA4939" w:rsidRDefault="00AA4939" w:rsidP="00AA4939">
            <w:pPr>
              <w:spacing w:before="0" w:after="0"/>
              <w:ind w:left="34" w:hanging="34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Մխոցի նյութ </w:t>
            </w:r>
            <w:r>
              <w:rPr>
                <w:bCs/>
                <w:sz w:val="18"/>
                <w:szCs w:val="18"/>
                <w:lang w:val="hy-AM"/>
              </w:rPr>
              <w:t>–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PTFE (տեֆլոն)</w:t>
            </w:r>
          </w:p>
          <w:p w14:paraId="737D4F8F" w14:textId="77777777" w:rsidR="00AA4939" w:rsidRDefault="00AA4939" w:rsidP="00AA4939">
            <w:pPr>
              <w:spacing w:before="0" w:after="0"/>
              <w:ind w:left="34" w:hanging="34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Համատեղելիություն </w:t>
            </w:r>
            <w:r>
              <w:rPr>
                <w:bCs/>
                <w:sz w:val="18"/>
                <w:szCs w:val="18"/>
                <w:lang w:val="hy-AM"/>
              </w:rPr>
              <w:t>–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GC և GC/MS վերլուծության համար</w:t>
            </w:r>
          </w:p>
          <w:p w14:paraId="296217B6" w14:textId="77777777" w:rsidR="00AA4939" w:rsidRDefault="00AA4939" w:rsidP="00AA4939">
            <w:pPr>
              <w:spacing w:before="0" w:after="0"/>
              <w:ind w:left="34" w:hanging="34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Գազային հերմետիկություն </w:t>
            </w:r>
            <w:r>
              <w:rPr>
                <w:bCs/>
                <w:sz w:val="18"/>
                <w:szCs w:val="18"/>
                <w:lang w:val="hy-AM"/>
              </w:rPr>
              <w:t xml:space="preserve">–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gas-tight (նախատեսված է գազային նմուշների հետ աշխատանքի համար, հերմետիկ)</w:t>
            </w:r>
          </w:p>
          <w:p w14:paraId="33347736" w14:textId="77777777" w:rsidR="00AA4939" w:rsidRDefault="00AA4939" w:rsidP="00AA4939">
            <w:pPr>
              <w:spacing w:before="0" w:after="0"/>
              <w:ind w:left="34" w:hanging="34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Օգտագործվող ասեղների տեսակ </w:t>
            </w:r>
            <w:r>
              <w:rPr>
                <w:bCs/>
                <w:sz w:val="18"/>
                <w:szCs w:val="18"/>
                <w:lang w:val="hy-AM"/>
              </w:rPr>
              <w:t>–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փոխարինվող Luer-Lock</w:t>
            </w:r>
          </w:p>
          <w:p w14:paraId="7ECE2123" w14:textId="77777777" w:rsidR="00AA4939" w:rsidRDefault="00AA4939" w:rsidP="00AA4939">
            <w:pPr>
              <w:spacing w:before="0" w:after="0"/>
              <w:ind w:left="34" w:hanging="34"/>
              <w:rPr>
                <w:b/>
                <w:sz w:val="18"/>
                <w:szCs w:val="18"/>
                <w:lang w:val="hy-AM"/>
              </w:rPr>
            </w:pPr>
            <w:r>
              <w:rPr>
                <w:b/>
                <w:sz w:val="18"/>
                <w:szCs w:val="18"/>
                <w:lang w:val="hy-AM"/>
              </w:rPr>
              <w:t>Ասեղներ գազային ներարկչի համար</w:t>
            </w:r>
          </w:p>
          <w:p w14:paraId="44DA49B4" w14:textId="77777777" w:rsidR="00AA4939" w:rsidRDefault="00AA4939" w:rsidP="00AA4939">
            <w:pPr>
              <w:spacing w:before="0" w:after="0"/>
              <w:ind w:left="34" w:hanging="34"/>
              <w:rPr>
                <w:bCs/>
                <w:sz w:val="18"/>
                <w:szCs w:val="18"/>
                <w:lang w:val="hy-AM"/>
              </w:rPr>
            </w:pPr>
            <w:r>
              <w:rPr>
                <w:bCs/>
                <w:sz w:val="18"/>
                <w:szCs w:val="18"/>
                <w:lang w:val="hy-AM"/>
              </w:rPr>
              <w:t>Արտադրանքի տեսակ – փոխարինվող ասեղ ներարկչի համար</w:t>
            </w:r>
          </w:p>
          <w:p w14:paraId="054A6053" w14:textId="77777777" w:rsidR="00AA4939" w:rsidRDefault="00AA4939" w:rsidP="00AA4939">
            <w:pPr>
              <w:spacing w:before="0" w:after="0"/>
              <w:ind w:left="34" w:hanging="34"/>
              <w:rPr>
                <w:bCs/>
                <w:sz w:val="18"/>
                <w:szCs w:val="18"/>
                <w:lang w:val="hy-AM"/>
              </w:rPr>
            </w:pPr>
            <w:r>
              <w:rPr>
                <w:bCs/>
                <w:sz w:val="18"/>
                <w:szCs w:val="18"/>
                <w:lang w:val="hy-AM"/>
              </w:rPr>
              <w:t>Միացման տեսակ – Luer-Lo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c</w:t>
            </w:r>
            <w:r>
              <w:rPr>
                <w:bCs/>
                <w:sz w:val="18"/>
                <w:szCs w:val="18"/>
                <w:lang w:val="hy-AM"/>
              </w:rPr>
              <w:t>k</w:t>
            </w:r>
          </w:p>
          <w:p w14:paraId="115E1324" w14:textId="77777777" w:rsidR="00AA4939" w:rsidRDefault="00AA4939" w:rsidP="00AA4939">
            <w:pPr>
              <w:spacing w:before="0" w:after="0"/>
              <w:ind w:left="34" w:hanging="34"/>
              <w:rPr>
                <w:bCs/>
                <w:sz w:val="18"/>
                <w:szCs w:val="18"/>
                <w:lang w:val="hy-AM"/>
              </w:rPr>
            </w:pPr>
            <w:r>
              <w:rPr>
                <w:bCs/>
                <w:sz w:val="18"/>
                <w:szCs w:val="18"/>
                <w:lang w:val="hy-AM"/>
              </w:rPr>
              <w:t>Ծայրի տեսակ – թեք կտրվածքով (bevel tip)</w:t>
            </w:r>
          </w:p>
          <w:p w14:paraId="61110E63" w14:textId="77777777" w:rsidR="00AA4939" w:rsidRDefault="00AA4939" w:rsidP="00AA4939">
            <w:pPr>
              <w:spacing w:before="0" w:after="0"/>
              <w:ind w:left="34" w:hanging="34"/>
              <w:rPr>
                <w:bCs/>
                <w:sz w:val="18"/>
                <w:szCs w:val="18"/>
                <w:lang w:val="hy-AM"/>
              </w:rPr>
            </w:pPr>
            <w:r>
              <w:rPr>
                <w:bCs/>
                <w:sz w:val="18"/>
                <w:szCs w:val="18"/>
                <w:lang w:val="hy-AM"/>
              </w:rPr>
              <w:t>Ասեղի չափ – 23/50</w:t>
            </w:r>
          </w:p>
          <w:p w14:paraId="6661E2A6" w14:textId="77777777" w:rsidR="00AA4939" w:rsidRDefault="00AA4939" w:rsidP="00AA4939">
            <w:pPr>
              <w:spacing w:before="0" w:after="0"/>
              <w:ind w:left="34" w:hanging="34"/>
              <w:rPr>
                <w:bCs/>
                <w:sz w:val="18"/>
                <w:szCs w:val="18"/>
                <w:lang w:val="hy-AM"/>
              </w:rPr>
            </w:pPr>
            <w:r>
              <w:rPr>
                <w:bCs/>
                <w:sz w:val="18"/>
                <w:szCs w:val="18"/>
                <w:lang w:val="hy-AM"/>
              </w:rPr>
              <w:t>Փաթեթում քանակ –3 հատ</w:t>
            </w:r>
          </w:p>
          <w:p w14:paraId="5440EFB7" w14:textId="77777777" w:rsidR="00AA4939" w:rsidRDefault="00AA4939" w:rsidP="00AA4939">
            <w:pPr>
              <w:spacing w:before="0" w:after="0"/>
              <w:ind w:left="34" w:hanging="34"/>
              <w:rPr>
                <w:bCs/>
                <w:sz w:val="18"/>
                <w:szCs w:val="18"/>
                <w:lang w:val="hy-AM"/>
              </w:rPr>
            </w:pPr>
            <w:r>
              <w:rPr>
                <w:bCs/>
                <w:sz w:val="18"/>
                <w:szCs w:val="18"/>
                <w:lang w:val="hy-AM"/>
              </w:rPr>
              <w:t>Նշանակություն – GC և GC/MS վերլուծության համար</w:t>
            </w:r>
          </w:p>
          <w:p w14:paraId="5A393185" w14:textId="77777777" w:rsidR="00AA4939" w:rsidRPr="00870AD3" w:rsidRDefault="00AA4939" w:rsidP="00AA4939">
            <w:pPr>
              <w:spacing w:before="0" w:after="0"/>
              <w:ind w:left="34" w:hanging="34"/>
              <w:rPr>
                <w:b/>
                <w:sz w:val="18"/>
                <w:szCs w:val="18"/>
                <w:lang w:val="hy-AM"/>
              </w:rPr>
            </w:pPr>
            <w:r>
              <w:rPr>
                <w:bCs/>
                <w:sz w:val="18"/>
                <w:szCs w:val="18"/>
                <w:lang w:val="hy-AM"/>
              </w:rPr>
              <w:t>Համատեղելիություն՝ Luer-Lok միացմամբ ներարկիչների հետ</w:t>
            </w:r>
          </w:p>
          <w:p w14:paraId="76E2A12E" w14:textId="77777777" w:rsidR="00AA4939" w:rsidRPr="00DA5FC7" w:rsidRDefault="00AA4939" w:rsidP="00AA4939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AA4939" w:rsidRPr="00AA4939" w14:paraId="7EBFEFAC" w14:textId="77777777" w:rsidTr="00995D7D">
        <w:trPr>
          <w:trHeight w:val="60"/>
        </w:trPr>
        <w:tc>
          <w:tcPr>
            <w:tcW w:w="567" w:type="dxa"/>
            <w:shd w:val="clear" w:color="auto" w:fill="auto"/>
            <w:vAlign w:val="center"/>
          </w:tcPr>
          <w:p w14:paraId="18B7A804" w14:textId="02A2ABE1" w:rsidR="00AA4939" w:rsidRPr="00AA4939" w:rsidRDefault="00AA4939" w:rsidP="00AA4939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58B554DA" w14:textId="415B3156" w:rsidR="00AA4939" w:rsidRPr="00AF1BB4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24208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Բարձր մաքրության հելիում գազ (UHP)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F852043" w14:textId="40B0395C" w:rsidR="00AA4939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13387D9" w14:textId="43954322" w:rsidR="00AA4939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60EF840B" w14:textId="503D387B" w:rsidR="00AA4939" w:rsidRPr="00002CB5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002CB5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14:paraId="5FA98FB5" w14:textId="57ACAB50" w:rsidR="00AA4939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6FAFA4F" w14:textId="52A10B4A" w:rsidR="00AA4939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560000</w:t>
            </w:r>
          </w:p>
        </w:tc>
        <w:tc>
          <w:tcPr>
            <w:tcW w:w="255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2F7EC8BA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Բարձր մաքրության հելիում գազ (UHP)</w:t>
            </w:r>
          </w:p>
          <w:p w14:paraId="2DE7635C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Տեսակ – սեղմված գազ հելիում (He)</w:t>
            </w:r>
          </w:p>
          <w:p w14:paraId="20DB8775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Մաքրություն – UHP (Ultra High Purity), ոչ պակաս քան 99.9996% (5.0 դաս)</w:t>
            </w:r>
          </w:p>
          <w:p w14:paraId="20E84E7A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Գազի ծավալ – 9.5 - 10 մ³ (ստանդարտ պայմաններում)</w:t>
            </w:r>
          </w:p>
          <w:p w14:paraId="1861F404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 xml:space="preserve">Մատակարարման ձև – </w:t>
            </w:r>
            <w:r w:rsidRPr="00AA4939">
              <w:rPr>
                <w:rFonts w:ascii="Calibri" w:eastAsia="Calibri" w:hAnsi="Calibri"/>
                <w:b/>
                <w:sz w:val="18"/>
                <w:szCs w:val="18"/>
                <w:lang w:val="hy-AM" w:eastAsia="en-US"/>
              </w:rPr>
              <w:t>լցված բալոն</w:t>
            </w: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 xml:space="preserve"> (outright cylinder)</w:t>
            </w:r>
          </w:p>
          <w:p w14:paraId="00DB0AC9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Բալոնի ծավալ – 50 լիտր</w:t>
            </w:r>
          </w:p>
          <w:p w14:paraId="6E395F83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Գազի հատկություններ – իներտ/չայրվող/ոչ թունավոր/անգույն/առանց հոտի</w:t>
            </w:r>
          </w:p>
          <w:p w14:paraId="2A122206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Աշխատանքային ճնշում – ըստ արդյունաբերական ստանդարտների (մոտ 200–</w:t>
            </w: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lastRenderedPageBreak/>
              <w:t>300 bar)</w:t>
            </w:r>
          </w:p>
          <w:p w14:paraId="14B001BF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Կիրառություն – գազային քրոմատոգրաֆիա (GC-MS)</w:t>
            </w:r>
          </w:p>
          <w:p w14:paraId="3F3FAD64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Փաթեթավորում – պողպատե բարձր ճնշման բալոն՝ փականով և պաշտպանիչ գլխարկով</w:t>
            </w:r>
          </w:p>
          <w:p w14:paraId="08EBA73A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Հետագիծ – պարտադիր է բալոնի սերիական համար</w:t>
            </w:r>
          </w:p>
          <w:p w14:paraId="537B2400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Համատեղելիություն – GC և GC/MS վերլուծության</w:t>
            </w:r>
          </w:p>
          <w:p w14:paraId="65615D39" w14:textId="387067AE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Որակի սերտիֆիկատ – CoA</w:t>
            </w:r>
          </w:p>
        </w:tc>
        <w:tc>
          <w:tcPr>
            <w:tcW w:w="255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4F1FBB3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lastRenderedPageBreak/>
              <w:t>Բարձր մաքրության հելիում գազ (UHP)</w:t>
            </w:r>
          </w:p>
          <w:p w14:paraId="2251B4E8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Տեսակ – սեղմված գազ հելիում (He)</w:t>
            </w:r>
          </w:p>
          <w:p w14:paraId="3395E892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Մաքրություն – UHP (Ultra High Purity), ոչ պակաս քան 99.9996% (5.0 դաս)</w:t>
            </w:r>
          </w:p>
          <w:p w14:paraId="1907FD09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Գազի ծավալ – 9.5 - 10 մ³ (ստանդարտ պայմաններում)</w:t>
            </w:r>
          </w:p>
          <w:p w14:paraId="62830D7F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 xml:space="preserve">Մատակարարման ձև – </w:t>
            </w:r>
            <w:r w:rsidRPr="00AA4939">
              <w:rPr>
                <w:rFonts w:ascii="Calibri" w:eastAsia="Calibri" w:hAnsi="Calibri"/>
                <w:b/>
                <w:sz w:val="18"/>
                <w:szCs w:val="18"/>
                <w:lang w:val="hy-AM" w:eastAsia="en-US"/>
              </w:rPr>
              <w:t>լցված բալոն</w:t>
            </w: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 xml:space="preserve"> (outright cylinder)</w:t>
            </w:r>
          </w:p>
          <w:p w14:paraId="58A9A910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Բալոնի ծավալ – 50 լիտր</w:t>
            </w:r>
          </w:p>
          <w:p w14:paraId="7FC7A22D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Գազի հատկություններ – իներտ/չայրվող/ոչ թունավոր/անգույն/առանց հոտի</w:t>
            </w:r>
          </w:p>
          <w:p w14:paraId="28A5909C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Աշխատանքային ճնշում – ըստ արդյունաբերական ստանդարտների (մոտ 200–</w:t>
            </w: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lastRenderedPageBreak/>
              <w:t>300 bar)</w:t>
            </w:r>
          </w:p>
          <w:p w14:paraId="72A978AD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Կիրառություն – գազային քրոմատոգրաֆիա (GC-MS)</w:t>
            </w:r>
          </w:p>
          <w:p w14:paraId="6A87740A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Փաթեթավորում – պողպատե բարձր ճնշման բալոն՝ փականով և պաշտպանիչ գլխարկով</w:t>
            </w:r>
          </w:p>
          <w:p w14:paraId="697B92C0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Հետագիծ – պարտադիր է բալոնի սերիական համար</w:t>
            </w:r>
          </w:p>
          <w:p w14:paraId="44B9B7E6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Համատեղելիություն – GC և GC/MS վերլուծության</w:t>
            </w:r>
          </w:p>
          <w:p w14:paraId="63423A35" w14:textId="23D0DED4" w:rsidR="00AA4939" w:rsidRPr="00DA5FC7" w:rsidRDefault="00AA4939" w:rsidP="00AA4939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AA4939">
              <w:rPr>
                <w:bCs/>
                <w:sz w:val="18"/>
                <w:szCs w:val="18"/>
                <w:lang w:val="hy-AM"/>
              </w:rPr>
              <w:t>Որակի սերտիֆիկատ – CoA</w:t>
            </w:r>
          </w:p>
        </w:tc>
      </w:tr>
      <w:tr w:rsidR="00AA4939" w:rsidRPr="00DF28DB" w14:paraId="3E8AEF4B" w14:textId="77777777" w:rsidTr="00995D7D">
        <w:trPr>
          <w:trHeight w:val="60"/>
        </w:trPr>
        <w:tc>
          <w:tcPr>
            <w:tcW w:w="567" w:type="dxa"/>
            <w:shd w:val="clear" w:color="auto" w:fill="auto"/>
            <w:vAlign w:val="center"/>
          </w:tcPr>
          <w:p w14:paraId="6F460604" w14:textId="35A8942E" w:rsidR="00AA4939" w:rsidRPr="00AA4939" w:rsidRDefault="00AA4939" w:rsidP="00AA4939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C61C268" w14:textId="628095D8" w:rsidR="00AA4939" w:rsidRPr="00AF1BB4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A5118B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 xml:space="preserve">Բարձր մաքրության արգոն  գազ 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7D6C12D4" w14:textId="1634F3BB" w:rsidR="00AA4939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61B4361" w14:textId="08771458" w:rsidR="00AA4939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4EF4BD86" w14:textId="05E5F904" w:rsidR="00AA4939" w:rsidRPr="00002CB5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14:paraId="1E179CFE" w14:textId="47126B3B" w:rsidR="00AA4939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AEE718D" w14:textId="073AF20C" w:rsidR="00AA4939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A5118B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106000</w:t>
            </w:r>
          </w:p>
        </w:tc>
        <w:tc>
          <w:tcPr>
            <w:tcW w:w="255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050F65E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Բարձր մաքրության արգոն  գազ (UHP)</w:t>
            </w:r>
          </w:p>
          <w:p w14:paraId="2D08394F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Տեսակ – սեղմված գազ հելիում (He)</w:t>
            </w:r>
          </w:p>
          <w:p w14:paraId="2F8B5847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Մաքրություն – UHP (Ultra High Purity), ոչ պակաս քան 99.9996% (5.0 դաս)</w:t>
            </w:r>
          </w:p>
          <w:p w14:paraId="0FC667B3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Գազի ծավալ – 9.5 - 10 մ³ (ստանդարտ պայմաններում)</w:t>
            </w:r>
          </w:p>
          <w:p w14:paraId="4984F194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Բալոնի տեսակ – բարձր ճնշման արդյունաբերական պողպատե բալոն (սերտիֆկացված)(նոր)</w:t>
            </w:r>
          </w:p>
          <w:p w14:paraId="0C349369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 xml:space="preserve">Մատակարարման ձև – </w:t>
            </w:r>
            <w:r w:rsidRPr="00AA4939">
              <w:rPr>
                <w:rFonts w:ascii="Calibri" w:eastAsia="Calibri" w:hAnsi="Calibri"/>
                <w:b/>
                <w:sz w:val="18"/>
                <w:szCs w:val="18"/>
                <w:lang w:val="hy-AM" w:eastAsia="en-US"/>
              </w:rPr>
              <w:t>լցված բալոն</w:t>
            </w: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 xml:space="preserve"> (outright cylinder)</w:t>
            </w:r>
          </w:p>
          <w:p w14:paraId="5807D20C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Բալոնի ծավալ – 50 լիտր</w:t>
            </w:r>
          </w:p>
          <w:p w14:paraId="3F120B53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Գազի հատկություններ – իներտ/չայրվող/ոչ թունավոր/անգույն/առանց հոտի</w:t>
            </w:r>
          </w:p>
          <w:p w14:paraId="32493762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Աշխատանքային ճնշում – ըստ արդյունաբերական ստանդարտների (մոտ 200–300 bar)</w:t>
            </w:r>
          </w:p>
          <w:p w14:paraId="3DDE8856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Կիրառություն – գազային քրոմատոգրաֆիա (GC-MS)</w:t>
            </w:r>
          </w:p>
          <w:p w14:paraId="1D212E00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Փաթեթավորում – պողպատե բարձր ճնշման բալոն՝ փականով և պաշտպանիչ գլխարկով</w:t>
            </w:r>
          </w:p>
          <w:p w14:paraId="1CEE78EA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Հետագիծ – պարտադիր է բալոնի սերիական համար</w:t>
            </w:r>
          </w:p>
          <w:p w14:paraId="03A1645B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Համատեղելիություն – GC և GC/MS վերլուծության</w:t>
            </w:r>
          </w:p>
          <w:p w14:paraId="7886E751" w14:textId="3212D7BD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Որակի սերտիֆիկատ – CoA</w:t>
            </w:r>
          </w:p>
        </w:tc>
        <w:tc>
          <w:tcPr>
            <w:tcW w:w="255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F01308D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Բարձր մաքրության արգոն  գազ (UHP)</w:t>
            </w:r>
          </w:p>
          <w:p w14:paraId="0BB05A48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Տեսակ – սեղմված գազ հելիում (He)</w:t>
            </w:r>
          </w:p>
          <w:p w14:paraId="07843375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Մաքրություն – UHP (Ultra High Purity), ոչ պակաս քան 99.9996% (5.0 դաս)</w:t>
            </w:r>
          </w:p>
          <w:p w14:paraId="75B6C4ED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Գազի ծավալ – 9.5 - 10 մ³ (ստանդարտ պայմաններում)</w:t>
            </w:r>
          </w:p>
          <w:p w14:paraId="7FADA57D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Բալոնի տեսակ – բարձր ճնշման արդյունաբերական պողպատե բալոն (սերտիֆկացված)(նոր)</w:t>
            </w:r>
          </w:p>
          <w:p w14:paraId="43B2B41B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 xml:space="preserve">Մատակարարման ձև – </w:t>
            </w:r>
            <w:r w:rsidRPr="00AA4939">
              <w:rPr>
                <w:rFonts w:ascii="Calibri" w:eastAsia="Calibri" w:hAnsi="Calibri"/>
                <w:b/>
                <w:sz w:val="18"/>
                <w:szCs w:val="18"/>
                <w:lang w:val="hy-AM" w:eastAsia="en-US"/>
              </w:rPr>
              <w:t>լցված բալոն</w:t>
            </w: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 xml:space="preserve"> (outright cylinder)</w:t>
            </w:r>
          </w:p>
          <w:p w14:paraId="39B447DA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Բալոնի ծավալ – 50 լիտր</w:t>
            </w:r>
          </w:p>
          <w:p w14:paraId="54353A14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Գազի հատկություններ – իներտ/չայրվող/ոչ թունավոր/անգույն/առանց հոտի</w:t>
            </w:r>
          </w:p>
          <w:p w14:paraId="190200D6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Աշխատանքային ճնշում – ըստ արդյունաբերական ստանդարտների (մոտ 200–300 bar)</w:t>
            </w:r>
          </w:p>
          <w:p w14:paraId="7CE6D6F9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Կիրառություն – գազային քրոմատոգրաֆիա (GC-MS)</w:t>
            </w:r>
          </w:p>
          <w:p w14:paraId="3ED2085E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Փաթեթավորում – պողպատե բարձր ճնշման բալոն՝ փականով և պաշտպանիչ գլխարկով</w:t>
            </w:r>
          </w:p>
          <w:p w14:paraId="1A97C602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Հետագիծ – պարտադիր է բալոնի սերիական համար</w:t>
            </w:r>
          </w:p>
          <w:p w14:paraId="4B93F59F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Համատեղելիություն – GC և GC/MS վերլուծության</w:t>
            </w:r>
          </w:p>
          <w:p w14:paraId="6A64F7FF" w14:textId="0642A5C3" w:rsidR="00AA4939" w:rsidRPr="00DA5FC7" w:rsidRDefault="00AA4939" w:rsidP="00AA4939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AA4939">
              <w:rPr>
                <w:bCs/>
                <w:sz w:val="18"/>
                <w:szCs w:val="18"/>
                <w:lang w:val="hy-AM"/>
              </w:rPr>
              <w:t>Որակի սերտիֆիկատ – CoA</w:t>
            </w:r>
          </w:p>
        </w:tc>
      </w:tr>
      <w:tr w:rsidR="00AA4939" w:rsidRPr="00DF28DB" w14:paraId="46D3A4E8" w14:textId="77777777" w:rsidTr="007A46B0">
        <w:trPr>
          <w:trHeight w:val="60"/>
        </w:trPr>
        <w:tc>
          <w:tcPr>
            <w:tcW w:w="567" w:type="dxa"/>
            <w:shd w:val="clear" w:color="auto" w:fill="auto"/>
            <w:vAlign w:val="center"/>
          </w:tcPr>
          <w:p w14:paraId="74F6C607" w14:textId="61D1C784" w:rsidR="00AA4939" w:rsidRPr="00AA4939" w:rsidRDefault="00AA4939" w:rsidP="00AA4939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3A17E218" w14:textId="228C6933" w:rsidR="00AA4939" w:rsidRPr="0042736D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lang w:val="hy-AM"/>
              </w:rPr>
            </w:pPr>
            <w:r w:rsidRPr="00A5118B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 xml:space="preserve">Բարձր մաքրության ազոտ  գազ 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1498DC2" w14:textId="2B0AB91F" w:rsidR="00AA4939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DD0198D" w14:textId="556C9B73" w:rsidR="00AA4939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73711A66" w14:textId="429465AA" w:rsidR="00AA4939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</w:pPr>
            <w:r w:rsidRPr="00002CB5"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14:paraId="550EB5A3" w14:textId="520D1142" w:rsidR="00AA4939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Cs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05B0E59" w14:textId="58A42CBD" w:rsidR="00AA4939" w:rsidRPr="0020766D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 w:rsidRPr="00A5118B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200000</w:t>
            </w:r>
          </w:p>
        </w:tc>
        <w:tc>
          <w:tcPr>
            <w:tcW w:w="2552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AEC39F4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Բարձր մաքրության ազոտ գազ (UHP)</w:t>
            </w:r>
          </w:p>
          <w:p w14:paraId="037831B1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Տեսակ – սեղմված գազ հելիում (He)</w:t>
            </w:r>
          </w:p>
          <w:p w14:paraId="35170F78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Մաքրություն – UHP (Ultra High Purity), ոչ պակաս քան 99.9996% (5.0 դաս)</w:t>
            </w:r>
          </w:p>
          <w:p w14:paraId="50B942F6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Գազի ծավալ – 9.5 - 10 մ³ (ստանդարտ պայմաններում)</w:t>
            </w:r>
          </w:p>
          <w:p w14:paraId="45852D02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 xml:space="preserve">Մատակարարման ձև – </w:t>
            </w:r>
            <w:r w:rsidRPr="00AA4939">
              <w:rPr>
                <w:rFonts w:ascii="Calibri" w:eastAsia="Calibri" w:hAnsi="Calibri"/>
                <w:b/>
                <w:sz w:val="18"/>
                <w:szCs w:val="18"/>
                <w:lang w:val="hy-AM" w:eastAsia="en-US"/>
              </w:rPr>
              <w:t>լցված բալոն</w:t>
            </w: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 xml:space="preserve"> (outright cylinder)</w:t>
            </w:r>
          </w:p>
          <w:p w14:paraId="211C7EF8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Բալոնի ծավալ – 50 լիտր</w:t>
            </w:r>
          </w:p>
          <w:p w14:paraId="5D3FB061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Գազի հատկություններ – իներտ/չայրվող/ոչ թունավոր/անգույն/առանց հոտի</w:t>
            </w:r>
          </w:p>
          <w:p w14:paraId="6F5E7398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Աշխատանքային ճնշում – ըստ արդյունաբերական ստանդարտների (մոտ 200–300 bar)</w:t>
            </w:r>
          </w:p>
          <w:p w14:paraId="15857FD0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Կիրառություն – գազային քրոմատոգրաֆիա (GC-MS)</w:t>
            </w:r>
          </w:p>
          <w:p w14:paraId="3D851020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 xml:space="preserve">Փաթեթավորում – պողպատե բարձր ճնշման բալոն՝ փականով և </w:t>
            </w: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lastRenderedPageBreak/>
              <w:t>պաշտպանիչ գլխարկով</w:t>
            </w:r>
          </w:p>
          <w:p w14:paraId="34C872FE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Հետագիծ – պարտադիր է բալոնի սերիական համար</w:t>
            </w:r>
          </w:p>
          <w:p w14:paraId="08F04C2C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Համատեղելիություն – GC և GC/MS վերլուծության</w:t>
            </w:r>
          </w:p>
          <w:p w14:paraId="304247E5" w14:textId="1C598A14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Որակի սերտիֆիկատ – CoA</w:t>
            </w:r>
          </w:p>
        </w:tc>
        <w:tc>
          <w:tcPr>
            <w:tcW w:w="255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5DDEAE1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lastRenderedPageBreak/>
              <w:t>Բարձր մաքրության ազոտ գազ (UHP)</w:t>
            </w:r>
          </w:p>
          <w:p w14:paraId="6D8886B0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Տեսակ – սեղմված գազ հելիում (He)</w:t>
            </w:r>
          </w:p>
          <w:p w14:paraId="29A3FCAF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Մաքրություն – UHP (Ultra High Purity), ոչ պակաս քան 99.9996% (5.0 դաս)</w:t>
            </w:r>
          </w:p>
          <w:p w14:paraId="13218B09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Գազի ծավալ – 9.5 - 10 մ³ (ստանդարտ պայմաններում)</w:t>
            </w:r>
          </w:p>
          <w:p w14:paraId="08DF9A5C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 xml:space="preserve">Մատակարարման ձև – </w:t>
            </w:r>
            <w:r w:rsidRPr="00AA4939">
              <w:rPr>
                <w:rFonts w:ascii="Calibri" w:eastAsia="Calibri" w:hAnsi="Calibri"/>
                <w:b/>
                <w:sz w:val="18"/>
                <w:szCs w:val="18"/>
                <w:lang w:val="hy-AM" w:eastAsia="en-US"/>
              </w:rPr>
              <w:t>լցված բալոն</w:t>
            </w: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 xml:space="preserve"> (outright cylinder)</w:t>
            </w:r>
          </w:p>
          <w:p w14:paraId="053176D8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Բալոնի ծավալ – 50 լիտր</w:t>
            </w:r>
          </w:p>
          <w:p w14:paraId="55A8F184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Գազի հատկություններ – իներտ/չայրվող/ոչ թունավոր/անգույն/առանց հոտի</w:t>
            </w:r>
          </w:p>
          <w:p w14:paraId="4D4645DF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Աշխատանքային ճնշում – ըստ արդյունաբերական ստանդարտների (մոտ 200–300 bar)</w:t>
            </w:r>
          </w:p>
          <w:p w14:paraId="1BF34B97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Կիրառություն – գազային քրոմատոգրաֆիա (GC-MS)</w:t>
            </w:r>
          </w:p>
          <w:p w14:paraId="5FA78F95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 xml:space="preserve">Փաթեթավորում – պողպատե բարձր ճնշման բալոն՝ փականով և </w:t>
            </w: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lastRenderedPageBreak/>
              <w:t>պաշտպանիչ գլխարկով</w:t>
            </w:r>
          </w:p>
          <w:p w14:paraId="3A3C3C05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Հետագիծ – պարտադիր է բալոնի սերիական համար</w:t>
            </w:r>
          </w:p>
          <w:p w14:paraId="33D74D14" w14:textId="77777777" w:rsidR="00AA4939" w:rsidRPr="00AA4939" w:rsidRDefault="00AA4939" w:rsidP="00AA4939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</w:pPr>
            <w:r w:rsidRPr="00AA4939">
              <w:rPr>
                <w:rFonts w:ascii="Calibri" w:eastAsia="Calibri" w:hAnsi="Calibri"/>
                <w:bCs/>
                <w:sz w:val="18"/>
                <w:szCs w:val="18"/>
                <w:lang w:val="hy-AM" w:eastAsia="en-US"/>
              </w:rPr>
              <w:t>Համատեղելիություն – GC և GC/MS վերլուծության</w:t>
            </w:r>
          </w:p>
          <w:p w14:paraId="79CCF4AE" w14:textId="65B4DA1F" w:rsidR="00AA4939" w:rsidRPr="00DA5FC7" w:rsidRDefault="00AA4939" w:rsidP="00AA4939">
            <w:pPr>
              <w:spacing w:before="0" w:after="0"/>
              <w:ind w:left="34" w:hanging="34"/>
              <w:rPr>
                <w:rFonts w:ascii="Sylfaen" w:hAnsi="Sylfaen"/>
                <w:sz w:val="16"/>
                <w:szCs w:val="16"/>
                <w:lang w:val="hy-AM"/>
              </w:rPr>
            </w:pPr>
            <w:r w:rsidRPr="00AA4939">
              <w:rPr>
                <w:bCs/>
                <w:sz w:val="18"/>
                <w:szCs w:val="18"/>
                <w:lang w:val="hy-AM"/>
              </w:rPr>
              <w:t>Որակի սերտիֆիկատ – CoA</w:t>
            </w:r>
          </w:p>
        </w:tc>
      </w:tr>
      <w:tr w:rsidR="00AA4939" w:rsidRPr="00452706" w14:paraId="4B8BC031" w14:textId="3D09280E" w:rsidTr="00714AD0">
        <w:trPr>
          <w:trHeight w:val="60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451180EC" w14:textId="60BE9B6F" w:rsidR="00AA4939" w:rsidRPr="00C90707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</w:tr>
      <w:tr w:rsidR="00AA4939" w:rsidRPr="00452706" w14:paraId="24C3B0CB" w14:textId="77777777" w:rsidTr="00930AC2">
        <w:trPr>
          <w:trHeight w:val="137"/>
        </w:trPr>
        <w:tc>
          <w:tcPr>
            <w:tcW w:w="43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AA4939" w:rsidRPr="00C90707" w:rsidRDefault="00AA4939" w:rsidP="00AA49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43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778DDBF" w:rsidR="00AA4939" w:rsidRPr="00C90707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A4939" w:rsidRPr="00452706" w14:paraId="075EEA57" w14:textId="77777777" w:rsidTr="00714AD0">
        <w:trPr>
          <w:trHeight w:val="196"/>
        </w:trPr>
        <w:tc>
          <w:tcPr>
            <w:tcW w:w="1077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A4939" w:rsidRPr="00C9070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A4939" w:rsidRPr="00C90707" w14:paraId="681596E8" w14:textId="77777777" w:rsidTr="00930A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69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69DE43BC" w:rsidR="00AA4939" w:rsidRPr="00C90707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816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0102B77" w:rsidR="00AA4939" w:rsidRPr="008C7C15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26.05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C907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</w:tr>
      <w:tr w:rsidR="00AA4939" w:rsidRPr="00C90707" w14:paraId="199F948A" w14:textId="77777777" w:rsidTr="00930A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8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871645D" w:rsidR="00AA4939" w:rsidRPr="00C90707" w:rsidRDefault="00AA4939" w:rsidP="00AA49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2140D86C" w:rsidR="00AA4939" w:rsidRPr="00C9070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010BA07" w:rsidR="00AA4939" w:rsidRPr="00C90707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A4939" w:rsidRPr="00C90707" w14:paraId="6EE9B008" w14:textId="77777777" w:rsidTr="00930A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8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AA4939" w:rsidRPr="00C90707" w:rsidRDefault="00AA4939" w:rsidP="00AA49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4FBB5A8F" w:rsidR="00AA4939" w:rsidRPr="00C9070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AA4939" w:rsidRPr="00C90707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A4939" w:rsidRPr="00C90707" w14:paraId="13FE412E" w14:textId="77777777" w:rsidTr="00930A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8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618E0A0C" w:rsidR="00AA4939" w:rsidRPr="00C90707" w:rsidRDefault="00AA4939" w:rsidP="00AA49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AA4939" w:rsidRPr="00C9070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21244FFE" w:rsidR="00AA4939" w:rsidRPr="00C90707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091D90C1" w:rsidR="00AA4939" w:rsidRPr="00C90707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անման</w:t>
            </w:r>
          </w:p>
        </w:tc>
      </w:tr>
      <w:tr w:rsidR="00AA4939" w:rsidRPr="00C90707" w14:paraId="321D26CF" w14:textId="77777777" w:rsidTr="00930A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8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AA4939" w:rsidRPr="00C90707" w:rsidRDefault="00AA4939" w:rsidP="00AA49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115411B0" w:rsidR="00AA4939" w:rsidRPr="00C9070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202D6E7E" w:rsidR="00AA4939" w:rsidRPr="00C90707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07101699" w:rsidR="00AA4939" w:rsidRPr="00C90707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AA4939" w:rsidRPr="00C90707" w14:paraId="68E691E2" w14:textId="77777777" w:rsidTr="00930A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8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AA4939" w:rsidRPr="00C90707" w:rsidRDefault="00AA4939" w:rsidP="00AA49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AA4939" w:rsidRPr="00C9070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AA4939" w:rsidRPr="00C90707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0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AA4939" w:rsidRPr="00C90707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AA4939" w:rsidRPr="00C90707" w14:paraId="30B89418" w14:textId="77777777" w:rsidTr="00714AD0">
        <w:trPr>
          <w:trHeight w:val="54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70776DB4" w14:textId="77777777" w:rsidR="00AA4939" w:rsidRPr="00C9070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AA4939" w:rsidRPr="00C90707" w14:paraId="10DC4861" w14:textId="77777777" w:rsidTr="00930AC2">
        <w:trPr>
          <w:trHeight w:val="221"/>
        </w:trPr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AA4939" w:rsidRPr="00C9070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51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AA4939" w:rsidRPr="00C9070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380" w:type="dxa"/>
            <w:gridSpan w:val="18"/>
            <w:shd w:val="clear" w:color="auto" w:fill="auto"/>
            <w:vAlign w:val="center"/>
          </w:tcPr>
          <w:p w14:paraId="1FD38684" w14:textId="2B462658" w:rsidR="00AA4939" w:rsidRPr="00C9070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AA4939" w:rsidRPr="00C90707" w14:paraId="3FD00E3A" w14:textId="77777777" w:rsidTr="00930AC2">
        <w:trPr>
          <w:trHeight w:val="60"/>
        </w:trPr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67E5DBFB" w14:textId="77777777" w:rsidR="00AA4939" w:rsidRPr="00C9070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9"/>
            <w:vMerge/>
            <w:shd w:val="clear" w:color="auto" w:fill="auto"/>
            <w:vAlign w:val="center"/>
          </w:tcPr>
          <w:p w14:paraId="7835142E" w14:textId="77777777" w:rsidR="00AA4939" w:rsidRPr="00C9070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27542D69" w14:textId="77777777" w:rsidR="00AA4939" w:rsidRPr="00C9070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635EE2FE" w14:textId="77777777" w:rsidR="00AA4939" w:rsidRPr="00C9070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15" w:type="dxa"/>
            <w:gridSpan w:val="3"/>
            <w:shd w:val="clear" w:color="auto" w:fill="auto"/>
            <w:vAlign w:val="center"/>
          </w:tcPr>
          <w:p w14:paraId="4A371FE9" w14:textId="77777777" w:rsidR="00AA4939" w:rsidRPr="00C9070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AA4939" w:rsidRPr="00C90707" w14:paraId="3CB9CDC9" w14:textId="77777777" w:rsidTr="00930AC2">
        <w:trPr>
          <w:trHeight w:val="60"/>
        </w:trPr>
        <w:tc>
          <w:tcPr>
            <w:tcW w:w="1843" w:type="dxa"/>
            <w:gridSpan w:val="4"/>
            <w:shd w:val="clear" w:color="auto" w:fill="auto"/>
            <w:vAlign w:val="center"/>
          </w:tcPr>
          <w:p w14:paraId="46D04ACB" w14:textId="2EF3A0D5" w:rsidR="00AA4939" w:rsidRPr="003A15F6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14:paraId="3FD22DCE" w14:textId="77777777" w:rsidR="00AA4939" w:rsidRPr="00515C3E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7D340C6D" w14:textId="77777777" w:rsidR="00AA4939" w:rsidRPr="00515C3E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50CDB492" w14:textId="77777777" w:rsidR="00AA4939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015" w:type="dxa"/>
            <w:gridSpan w:val="3"/>
            <w:shd w:val="clear" w:color="auto" w:fill="auto"/>
            <w:vAlign w:val="center"/>
          </w:tcPr>
          <w:p w14:paraId="7E95325B" w14:textId="77777777" w:rsidR="00AA4939" w:rsidRPr="00A52E6F" w:rsidRDefault="00AA4939" w:rsidP="00AA4939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AA4939" w:rsidRPr="00C90707" w14:paraId="3FF11232" w14:textId="77777777" w:rsidTr="00694D27">
        <w:trPr>
          <w:trHeight w:val="50"/>
        </w:trPr>
        <w:tc>
          <w:tcPr>
            <w:tcW w:w="1843" w:type="dxa"/>
            <w:gridSpan w:val="4"/>
            <w:shd w:val="clear" w:color="auto" w:fill="auto"/>
            <w:vAlign w:val="center"/>
          </w:tcPr>
          <w:p w14:paraId="5FD564F8" w14:textId="52CD8B8A" w:rsidR="00AA4939" w:rsidRPr="00EC0D16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551" w:type="dxa"/>
            <w:gridSpan w:val="9"/>
            <w:shd w:val="clear" w:color="auto" w:fill="auto"/>
          </w:tcPr>
          <w:p w14:paraId="188F6DBD" w14:textId="1F980C5B" w:rsidR="00AA4939" w:rsidRPr="00984D19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AA4939">
              <w:rPr>
                <w:rFonts w:ascii="Sylfaen" w:hAnsi="Sylfaen"/>
                <w:color w:val="000000"/>
                <w:sz w:val="18"/>
                <w:szCs w:val="18"/>
              </w:rPr>
              <w:t>« Մեդիսար» ՍՊԸ</w:t>
            </w:r>
          </w:p>
        </w:tc>
        <w:tc>
          <w:tcPr>
            <w:tcW w:w="2835" w:type="dxa"/>
            <w:gridSpan w:val="8"/>
            <w:shd w:val="clear" w:color="auto" w:fill="auto"/>
          </w:tcPr>
          <w:p w14:paraId="5171B7DD" w14:textId="03CB5AF0" w:rsidR="00AA4939" w:rsidRPr="00A83E96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AA4939">
              <w:rPr>
                <w:rFonts w:ascii="Sylfaen" w:hAnsi="Sylfaen"/>
                <w:color w:val="000000"/>
                <w:sz w:val="18"/>
                <w:szCs w:val="18"/>
              </w:rPr>
              <w:t>1066666,6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12A768B6" w14:textId="16BC2720" w:rsidR="00AA4939" w:rsidRPr="00AA4939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213333,32</w:t>
            </w:r>
          </w:p>
        </w:tc>
        <w:tc>
          <w:tcPr>
            <w:tcW w:w="2015" w:type="dxa"/>
            <w:gridSpan w:val="3"/>
            <w:shd w:val="clear" w:color="auto" w:fill="auto"/>
            <w:vAlign w:val="center"/>
          </w:tcPr>
          <w:p w14:paraId="3B68D646" w14:textId="57B2BF9F" w:rsidR="00AA4939" w:rsidRPr="00A83E96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AA4939">
              <w:rPr>
                <w:rFonts w:ascii="Sylfaen" w:hAnsi="Sylfaen"/>
                <w:color w:val="000000"/>
                <w:sz w:val="18"/>
                <w:szCs w:val="18"/>
              </w:rPr>
              <w:t>1280000</w:t>
            </w:r>
          </w:p>
        </w:tc>
      </w:tr>
      <w:tr w:rsidR="00AA4939" w:rsidRPr="00C90707" w14:paraId="5599C79F" w14:textId="77777777" w:rsidTr="00694D27">
        <w:trPr>
          <w:trHeight w:val="50"/>
        </w:trPr>
        <w:tc>
          <w:tcPr>
            <w:tcW w:w="1843" w:type="dxa"/>
            <w:gridSpan w:val="4"/>
            <w:shd w:val="clear" w:color="auto" w:fill="auto"/>
            <w:vAlign w:val="center"/>
          </w:tcPr>
          <w:p w14:paraId="72CBF238" w14:textId="078BF502" w:rsidR="00AA4939" w:rsidRPr="00984D19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14:paraId="15183466" w14:textId="5F6946CD" w:rsidR="00AA4939" w:rsidRPr="000F4B2A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AA4939">
              <w:rPr>
                <w:rFonts w:ascii="Sylfaen" w:hAnsi="Sylfaen"/>
                <w:color w:val="000000"/>
                <w:sz w:val="18"/>
                <w:szCs w:val="18"/>
              </w:rPr>
              <w:t>Հասմիկ Օհանյան ԱՁ</w:t>
            </w:r>
          </w:p>
        </w:tc>
        <w:tc>
          <w:tcPr>
            <w:tcW w:w="2835" w:type="dxa"/>
            <w:gridSpan w:val="8"/>
            <w:shd w:val="clear" w:color="auto" w:fill="auto"/>
          </w:tcPr>
          <w:p w14:paraId="5C9EEFD0" w14:textId="776814B6" w:rsidR="00AA4939" w:rsidRPr="00A83E96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AA4939">
              <w:rPr>
                <w:rFonts w:ascii="Sylfaen" w:hAnsi="Sylfaen"/>
                <w:color w:val="000000"/>
                <w:sz w:val="18"/>
                <w:szCs w:val="18"/>
              </w:rPr>
              <w:t>980000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5862F8B2" w14:textId="4B35C4ED" w:rsidR="00AA4939" w:rsidRPr="00AA4939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196000</w:t>
            </w:r>
          </w:p>
        </w:tc>
        <w:tc>
          <w:tcPr>
            <w:tcW w:w="2015" w:type="dxa"/>
            <w:gridSpan w:val="3"/>
            <w:shd w:val="clear" w:color="auto" w:fill="auto"/>
            <w:vAlign w:val="center"/>
          </w:tcPr>
          <w:p w14:paraId="67EBA159" w14:textId="7F6E0D9A" w:rsidR="00AA4939" w:rsidRPr="00A83E96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AA4939">
              <w:rPr>
                <w:rFonts w:ascii="Sylfaen" w:hAnsi="Sylfaen"/>
                <w:color w:val="000000"/>
                <w:sz w:val="18"/>
                <w:szCs w:val="18"/>
              </w:rPr>
              <w:t>1176000</w:t>
            </w:r>
          </w:p>
        </w:tc>
      </w:tr>
      <w:tr w:rsidR="00AA4939" w:rsidRPr="00C90707" w14:paraId="6FB5F87D" w14:textId="77777777" w:rsidTr="00694D27">
        <w:trPr>
          <w:trHeight w:val="50"/>
        </w:trPr>
        <w:tc>
          <w:tcPr>
            <w:tcW w:w="1843" w:type="dxa"/>
            <w:gridSpan w:val="4"/>
            <w:shd w:val="clear" w:color="auto" w:fill="auto"/>
            <w:vAlign w:val="center"/>
          </w:tcPr>
          <w:p w14:paraId="46CA86AB" w14:textId="42E5B03C" w:rsidR="00AA4939" w:rsidRPr="00DF28DB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14:paraId="629D2244" w14:textId="5CE50277" w:rsidR="00AA4939" w:rsidRPr="00984D19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413863DE" w14:textId="0D9AAFE0" w:rsidR="00AA4939" w:rsidRPr="00A83E96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2B5C1B55" w14:textId="68D08AD1" w:rsidR="00AA4939" w:rsidRPr="00AA4939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5" w:type="dxa"/>
            <w:gridSpan w:val="3"/>
            <w:shd w:val="clear" w:color="auto" w:fill="auto"/>
            <w:vAlign w:val="center"/>
          </w:tcPr>
          <w:p w14:paraId="07916400" w14:textId="75994973" w:rsidR="00AA4939" w:rsidRPr="00A83E96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AA4939" w:rsidRPr="00C90707" w14:paraId="783D1FDA" w14:textId="77777777" w:rsidTr="00694D27">
        <w:trPr>
          <w:trHeight w:val="60"/>
        </w:trPr>
        <w:tc>
          <w:tcPr>
            <w:tcW w:w="1843" w:type="dxa"/>
            <w:gridSpan w:val="4"/>
            <w:shd w:val="clear" w:color="auto" w:fill="auto"/>
            <w:vAlign w:val="center"/>
          </w:tcPr>
          <w:p w14:paraId="7DECD220" w14:textId="2DAE2C00" w:rsidR="00AA4939" w:rsidRDefault="00AA4939" w:rsidP="00AA4939">
            <w:pPr>
              <w:spacing w:before="0" w:after="0"/>
              <w:ind w:left="0" w:hanging="21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551" w:type="dxa"/>
            <w:gridSpan w:val="9"/>
            <w:shd w:val="clear" w:color="auto" w:fill="auto"/>
          </w:tcPr>
          <w:p w14:paraId="01461322" w14:textId="224ED302" w:rsidR="00AA4939" w:rsidRPr="00984D19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AA4939">
              <w:rPr>
                <w:rFonts w:ascii="Sylfaen" w:hAnsi="Sylfaen"/>
                <w:color w:val="000000"/>
                <w:sz w:val="18"/>
                <w:szCs w:val="18"/>
              </w:rPr>
              <w:t>« Կոնցեռն Էներգոմաշ» ՓԲԸ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7858BC6A" w14:textId="54CF94D3" w:rsidR="00AA4939" w:rsidRPr="00A83E96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AA4939">
              <w:rPr>
                <w:rFonts w:ascii="Sylfaen" w:hAnsi="Sylfaen"/>
                <w:color w:val="000000"/>
                <w:sz w:val="18"/>
                <w:szCs w:val="18"/>
              </w:rPr>
              <w:t>348000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7F413022" w14:textId="236A6226" w:rsidR="00AA4939" w:rsidRPr="00AA4939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69600</w:t>
            </w:r>
          </w:p>
        </w:tc>
        <w:tc>
          <w:tcPr>
            <w:tcW w:w="2015" w:type="dxa"/>
            <w:gridSpan w:val="3"/>
            <w:shd w:val="clear" w:color="auto" w:fill="auto"/>
            <w:vAlign w:val="center"/>
          </w:tcPr>
          <w:p w14:paraId="02E076E0" w14:textId="3C0CBACA" w:rsidR="00AA4939" w:rsidRPr="00A83E96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AA4939">
              <w:rPr>
                <w:rFonts w:ascii="Sylfaen" w:hAnsi="Sylfaen"/>
                <w:color w:val="000000"/>
                <w:sz w:val="18"/>
                <w:szCs w:val="18"/>
              </w:rPr>
              <w:t>417600</w:t>
            </w:r>
          </w:p>
        </w:tc>
      </w:tr>
      <w:tr w:rsidR="00AA4939" w:rsidRPr="00C90707" w14:paraId="0405B8E3" w14:textId="77777777" w:rsidTr="002A7B1B">
        <w:trPr>
          <w:trHeight w:val="50"/>
        </w:trPr>
        <w:tc>
          <w:tcPr>
            <w:tcW w:w="1843" w:type="dxa"/>
            <w:gridSpan w:val="4"/>
            <w:shd w:val="clear" w:color="auto" w:fill="auto"/>
            <w:vAlign w:val="center"/>
          </w:tcPr>
          <w:p w14:paraId="46A42C71" w14:textId="7D70898B" w:rsidR="00AA4939" w:rsidRPr="00C90707" w:rsidRDefault="00AA4939" w:rsidP="00AA4939">
            <w:pPr>
              <w:spacing w:before="0" w:after="0"/>
              <w:ind w:left="0" w:hanging="21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2551" w:type="dxa"/>
            <w:gridSpan w:val="9"/>
            <w:shd w:val="clear" w:color="auto" w:fill="auto"/>
          </w:tcPr>
          <w:p w14:paraId="2349CA96" w14:textId="38F6ABE9" w:rsidR="00AA4939" w:rsidRPr="00AA4939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60EDA6AB" w14:textId="77777777" w:rsidR="00AA4939" w:rsidRPr="00A83E96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181FE795" w14:textId="434406B3" w:rsidR="00AA4939" w:rsidRPr="00AA4939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5" w:type="dxa"/>
            <w:gridSpan w:val="3"/>
            <w:shd w:val="clear" w:color="auto" w:fill="auto"/>
            <w:vAlign w:val="bottom"/>
          </w:tcPr>
          <w:p w14:paraId="1B040377" w14:textId="77777777" w:rsidR="00AA4939" w:rsidRPr="00A83E96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AA4939" w:rsidRPr="00C90707" w14:paraId="50373786" w14:textId="77777777" w:rsidTr="001201AE">
        <w:trPr>
          <w:trHeight w:val="50"/>
        </w:trPr>
        <w:tc>
          <w:tcPr>
            <w:tcW w:w="1843" w:type="dxa"/>
            <w:gridSpan w:val="4"/>
            <w:shd w:val="clear" w:color="auto" w:fill="auto"/>
            <w:vAlign w:val="center"/>
          </w:tcPr>
          <w:p w14:paraId="18A686DD" w14:textId="1363BE56" w:rsidR="00AA4939" w:rsidRDefault="00AA4939" w:rsidP="00AA4939">
            <w:pPr>
              <w:spacing w:before="0" w:after="0"/>
              <w:ind w:left="0" w:hanging="21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551" w:type="dxa"/>
            <w:gridSpan w:val="9"/>
            <w:shd w:val="clear" w:color="auto" w:fill="auto"/>
          </w:tcPr>
          <w:p w14:paraId="479093FE" w14:textId="28E5BE19" w:rsidR="00AA4939" w:rsidRPr="00984D19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AA4939">
              <w:rPr>
                <w:rFonts w:ascii="Sylfaen" w:hAnsi="Sylfaen"/>
                <w:color w:val="000000"/>
                <w:sz w:val="18"/>
                <w:szCs w:val="18"/>
              </w:rPr>
              <w:t>« Կոնցեռն Էներգոմաշ» ՓԲԸ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108A4A99" w14:textId="2220A56F" w:rsidR="00AA4939" w:rsidRPr="00A83E96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AA4939">
              <w:rPr>
                <w:rFonts w:ascii="Sylfaen" w:hAnsi="Sylfaen"/>
                <w:color w:val="000000"/>
                <w:sz w:val="18"/>
                <w:szCs w:val="18"/>
              </w:rPr>
              <w:t>85000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245C8276" w14:textId="23C1D207" w:rsidR="00AA4939" w:rsidRPr="00AA4939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17000</w:t>
            </w:r>
          </w:p>
        </w:tc>
        <w:tc>
          <w:tcPr>
            <w:tcW w:w="2015" w:type="dxa"/>
            <w:gridSpan w:val="3"/>
            <w:shd w:val="clear" w:color="auto" w:fill="auto"/>
            <w:vAlign w:val="center"/>
          </w:tcPr>
          <w:p w14:paraId="0C05A929" w14:textId="4F66BC50" w:rsidR="00AA4939" w:rsidRPr="00A83E96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AA4939">
              <w:rPr>
                <w:rFonts w:ascii="Sylfaen" w:hAnsi="Sylfaen"/>
                <w:color w:val="000000"/>
                <w:sz w:val="18"/>
                <w:szCs w:val="18"/>
              </w:rPr>
              <w:t>102000</w:t>
            </w:r>
          </w:p>
        </w:tc>
      </w:tr>
      <w:tr w:rsidR="00AA4939" w:rsidRPr="00C90707" w14:paraId="136AAC5C" w14:textId="77777777" w:rsidTr="002A7B1B">
        <w:trPr>
          <w:trHeight w:val="50"/>
        </w:trPr>
        <w:tc>
          <w:tcPr>
            <w:tcW w:w="1843" w:type="dxa"/>
            <w:gridSpan w:val="4"/>
            <w:shd w:val="clear" w:color="auto" w:fill="auto"/>
            <w:vAlign w:val="center"/>
          </w:tcPr>
          <w:p w14:paraId="0D4501F7" w14:textId="2C1D2031" w:rsidR="00AA4939" w:rsidRPr="00AA4939" w:rsidRDefault="00AA4939" w:rsidP="00AA4939">
            <w:pPr>
              <w:spacing w:before="0" w:after="0"/>
              <w:ind w:left="0" w:hanging="21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14:paraId="2B691D46" w14:textId="2267A07D" w:rsidR="00AA4939" w:rsidRPr="00984D19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7A94D746" w14:textId="1569D75D" w:rsidR="00AA4939" w:rsidRPr="00A83E96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3B139842" w14:textId="5DA31794" w:rsidR="00AA4939" w:rsidRPr="00AA4939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5" w:type="dxa"/>
            <w:gridSpan w:val="3"/>
            <w:shd w:val="clear" w:color="auto" w:fill="auto"/>
            <w:vAlign w:val="bottom"/>
          </w:tcPr>
          <w:p w14:paraId="79C4F151" w14:textId="29CC15B7" w:rsidR="00AA4939" w:rsidRPr="00A83E96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AA4939" w:rsidRPr="00C90707" w14:paraId="6AA57107" w14:textId="77777777" w:rsidTr="0002397F">
        <w:trPr>
          <w:trHeight w:val="50"/>
        </w:trPr>
        <w:tc>
          <w:tcPr>
            <w:tcW w:w="1843" w:type="dxa"/>
            <w:gridSpan w:val="4"/>
            <w:shd w:val="clear" w:color="auto" w:fill="auto"/>
            <w:vAlign w:val="center"/>
          </w:tcPr>
          <w:p w14:paraId="20AA3A7F" w14:textId="38774442" w:rsidR="00AA4939" w:rsidRDefault="00AA4939" w:rsidP="00AA4939">
            <w:pPr>
              <w:spacing w:before="0" w:after="0"/>
              <w:ind w:left="0" w:hanging="21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14:paraId="3D92EF8E" w14:textId="18DD6C81" w:rsidR="00AA4939" w:rsidRPr="00AA4939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AA4939">
              <w:rPr>
                <w:rFonts w:ascii="Sylfaen" w:hAnsi="Sylfaen"/>
                <w:color w:val="000000"/>
                <w:sz w:val="18"/>
                <w:szCs w:val="18"/>
              </w:rPr>
              <w:t>«Լաբ Ինդուստրի» ՍՊԸ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48FCF71F" w14:textId="0E009B21" w:rsidR="00AA4939" w:rsidRPr="00A83E96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AA4939">
              <w:rPr>
                <w:rFonts w:ascii="Sylfaen" w:hAnsi="Sylfaen"/>
                <w:color w:val="000000"/>
                <w:sz w:val="18"/>
                <w:szCs w:val="18"/>
              </w:rPr>
              <w:t>466666,67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2BA1469E" w14:textId="54CC7C14" w:rsidR="00AA4939" w:rsidRPr="00AA4939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93333,334</w:t>
            </w:r>
          </w:p>
        </w:tc>
        <w:tc>
          <w:tcPr>
            <w:tcW w:w="2015" w:type="dxa"/>
            <w:gridSpan w:val="3"/>
            <w:shd w:val="clear" w:color="auto" w:fill="auto"/>
            <w:vAlign w:val="center"/>
          </w:tcPr>
          <w:p w14:paraId="651ED385" w14:textId="3A6D1591" w:rsidR="00AA4939" w:rsidRPr="00A83E96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AA4939">
              <w:rPr>
                <w:rFonts w:ascii="Sylfaen" w:hAnsi="Sylfaen"/>
                <w:color w:val="000000"/>
                <w:sz w:val="18"/>
                <w:szCs w:val="18"/>
              </w:rPr>
              <w:t>560000</w:t>
            </w:r>
          </w:p>
        </w:tc>
      </w:tr>
      <w:tr w:rsidR="00AA4939" w:rsidRPr="00C90707" w14:paraId="23ADECE8" w14:textId="77777777" w:rsidTr="0002397F">
        <w:trPr>
          <w:trHeight w:val="50"/>
        </w:trPr>
        <w:tc>
          <w:tcPr>
            <w:tcW w:w="1843" w:type="dxa"/>
            <w:gridSpan w:val="4"/>
            <w:shd w:val="clear" w:color="auto" w:fill="auto"/>
            <w:vAlign w:val="center"/>
          </w:tcPr>
          <w:p w14:paraId="34D70092" w14:textId="153D816B" w:rsidR="00AA4939" w:rsidRPr="00AA4939" w:rsidRDefault="00AA4939" w:rsidP="00AA4939">
            <w:pPr>
              <w:spacing w:before="0" w:after="0"/>
              <w:ind w:left="0" w:hanging="21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6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14:paraId="373DACF1" w14:textId="77777777" w:rsidR="00AA4939" w:rsidRPr="00AA4939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54207377" w14:textId="40BB9101" w:rsidR="00AA4939" w:rsidRPr="00A83E96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7BFA74DE" w14:textId="43C0FA02" w:rsidR="00AA4939" w:rsidRPr="00AA4939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5" w:type="dxa"/>
            <w:gridSpan w:val="3"/>
            <w:shd w:val="clear" w:color="auto" w:fill="auto"/>
            <w:vAlign w:val="center"/>
          </w:tcPr>
          <w:p w14:paraId="52626448" w14:textId="6F0F8058" w:rsidR="00AA4939" w:rsidRPr="00A83E96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AA4939" w:rsidRPr="00C90707" w14:paraId="5A24A5FB" w14:textId="77777777" w:rsidTr="0002397F">
        <w:trPr>
          <w:trHeight w:val="50"/>
        </w:trPr>
        <w:tc>
          <w:tcPr>
            <w:tcW w:w="1843" w:type="dxa"/>
            <w:gridSpan w:val="4"/>
            <w:shd w:val="clear" w:color="auto" w:fill="auto"/>
            <w:vAlign w:val="center"/>
          </w:tcPr>
          <w:p w14:paraId="7631CB40" w14:textId="0B0F4F46" w:rsidR="00AA4939" w:rsidRPr="00AA4939" w:rsidRDefault="00AA4939" w:rsidP="00AA4939">
            <w:pPr>
              <w:spacing w:before="0" w:after="0"/>
              <w:ind w:left="0" w:hanging="21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14:paraId="6F4F43DE" w14:textId="682D3DB4" w:rsidR="00AA4939" w:rsidRPr="00984D19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AA4939">
              <w:rPr>
                <w:rFonts w:ascii="Sylfaen" w:hAnsi="Sylfaen"/>
                <w:color w:val="000000"/>
                <w:sz w:val="18"/>
                <w:szCs w:val="18"/>
              </w:rPr>
              <w:t>«Լաբ Ինդուստրի» ՍՊԸ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4EEB91F6" w14:textId="571BEAF1" w:rsidR="00AA4939" w:rsidRPr="00A83E96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AA4939">
              <w:rPr>
                <w:rFonts w:ascii="Sylfaen" w:hAnsi="Sylfaen"/>
                <w:color w:val="000000"/>
                <w:sz w:val="18"/>
                <w:szCs w:val="18"/>
              </w:rPr>
              <w:t>88333,33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3E4B5D03" w14:textId="5D440A66" w:rsidR="00AA4939" w:rsidRPr="00AA4939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17666,666</w:t>
            </w:r>
          </w:p>
        </w:tc>
        <w:tc>
          <w:tcPr>
            <w:tcW w:w="2015" w:type="dxa"/>
            <w:gridSpan w:val="3"/>
            <w:shd w:val="clear" w:color="auto" w:fill="auto"/>
            <w:vAlign w:val="center"/>
          </w:tcPr>
          <w:p w14:paraId="6C3C2357" w14:textId="6510F890" w:rsidR="00AA4939" w:rsidRPr="00A83E96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AA4939">
              <w:rPr>
                <w:rFonts w:ascii="Sylfaen" w:hAnsi="Sylfaen"/>
                <w:color w:val="000000"/>
                <w:sz w:val="18"/>
                <w:szCs w:val="18"/>
              </w:rPr>
              <w:t>106000</w:t>
            </w:r>
          </w:p>
        </w:tc>
      </w:tr>
      <w:tr w:rsidR="00AA4939" w:rsidRPr="00C90707" w14:paraId="7C59AD8B" w14:textId="77777777" w:rsidTr="002A7B1B">
        <w:trPr>
          <w:trHeight w:val="50"/>
        </w:trPr>
        <w:tc>
          <w:tcPr>
            <w:tcW w:w="1843" w:type="dxa"/>
            <w:gridSpan w:val="4"/>
            <w:shd w:val="clear" w:color="auto" w:fill="auto"/>
            <w:vAlign w:val="center"/>
          </w:tcPr>
          <w:p w14:paraId="16830F0B" w14:textId="3237746A" w:rsidR="00AA4939" w:rsidRPr="00AA4939" w:rsidRDefault="00AA4939" w:rsidP="00AA4939">
            <w:pPr>
              <w:spacing w:before="0" w:after="0"/>
              <w:ind w:left="0" w:hanging="21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7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14:paraId="3CE4D697" w14:textId="23F81895" w:rsidR="00AA4939" w:rsidRPr="000F4B2A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3209352D" w14:textId="3113DDB1" w:rsidR="00AA4939" w:rsidRPr="00A83E96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2649BC6B" w14:textId="164FC592" w:rsidR="00AA4939" w:rsidRPr="00AA4939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5" w:type="dxa"/>
            <w:gridSpan w:val="3"/>
            <w:shd w:val="clear" w:color="auto" w:fill="auto"/>
            <w:vAlign w:val="center"/>
          </w:tcPr>
          <w:p w14:paraId="75CE09C4" w14:textId="131894DF" w:rsidR="00AA4939" w:rsidRPr="00A83E96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AA4939" w:rsidRPr="00C90707" w14:paraId="7EC1AD08" w14:textId="77777777" w:rsidTr="00FA0546">
        <w:trPr>
          <w:trHeight w:val="50"/>
        </w:trPr>
        <w:tc>
          <w:tcPr>
            <w:tcW w:w="1843" w:type="dxa"/>
            <w:gridSpan w:val="4"/>
            <w:shd w:val="clear" w:color="auto" w:fill="auto"/>
            <w:vAlign w:val="center"/>
          </w:tcPr>
          <w:p w14:paraId="410ABA77" w14:textId="18729DD4" w:rsidR="00AA4939" w:rsidRDefault="00AA4939" w:rsidP="00AA4939">
            <w:pPr>
              <w:spacing w:before="0" w:after="0"/>
              <w:ind w:left="0" w:hanging="21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14:paraId="53A04A82" w14:textId="7E454100" w:rsidR="00AA4939" w:rsidRPr="000F4B2A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AA4939">
              <w:rPr>
                <w:rFonts w:ascii="Sylfaen" w:hAnsi="Sylfaen"/>
                <w:color w:val="000000"/>
                <w:sz w:val="18"/>
                <w:szCs w:val="18"/>
              </w:rPr>
              <w:t>«Լաբ Ինդուստրի» ՍՊԸ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475750EA" w14:textId="7BD36B41" w:rsidR="00AA4939" w:rsidRPr="00A83E96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AA4939">
              <w:rPr>
                <w:rFonts w:ascii="Sylfaen" w:hAnsi="Sylfaen"/>
                <w:color w:val="000000"/>
                <w:sz w:val="18"/>
                <w:szCs w:val="18"/>
              </w:rPr>
              <w:t>166666,67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7BC80C3A" w14:textId="0D5B35B4" w:rsidR="00AA4939" w:rsidRPr="00AA4939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33333,334</w:t>
            </w:r>
          </w:p>
        </w:tc>
        <w:tc>
          <w:tcPr>
            <w:tcW w:w="2015" w:type="dxa"/>
            <w:gridSpan w:val="3"/>
            <w:shd w:val="clear" w:color="auto" w:fill="auto"/>
            <w:vAlign w:val="center"/>
          </w:tcPr>
          <w:p w14:paraId="448A0A80" w14:textId="78C69DA3" w:rsidR="00AA4939" w:rsidRPr="00A83E96" w:rsidRDefault="00AA4939" w:rsidP="00AA4939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AA4939">
              <w:rPr>
                <w:rFonts w:ascii="Sylfaen" w:hAnsi="Sylfaen"/>
                <w:color w:val="000000"/>
                <w:sz w:val="18"/>
                <w:szCs w:val="18"/>
              </w:rPr>
              <w:t>200000</w:t>
            </w:r>
          </w:p>
        </w:tc>
      </w:tr>
      <w:tr w:rsidR="00AA4939" w:rsidRPr="00C90707" w14:paraId="700CD07F" w14:textId="6487660D" w:rsidTr="00714AD0">
        <w:trPr>
          <w:trHeight w:val="288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10ED0606" w14:textId="77777777" w:rsidR="00AA4939" w:rsidRPr="00515C3E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A4939" w:rsidRPr="00C90707" w14:paraId="521126E1" w14:textId="77777777" w:rsidTr="00714AD0">
        <w:tc>
          <w:tcPr>
            <w:tcW w:w="1077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AA4939" w:rsidRPr="00EB206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A4939" w:rsidRPr="00C90707" w14:paraId="552679BF" w14:textId="77777777" w:rsidTr="00930AC2">
        <w:trPr>
          <w:trHeight w:val="50"/>
        </w:trPr>
        <w:tc>
          <w:tcPr>
            <w:tcW w:w="805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AA4939" w:rsidRPr="00EB206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0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AA4939" w:rsidRPr="00EB206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53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AA4939" w:rsidRPr="00EB206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AA4939" w:rsidRPr="00C90707" w14:paraId="3CA6FABC" w14:textId="77777777" w:rsidTr="00930AC2">
        <w:tc>
          <w:tcPr>
            <w:tcW w:w="80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98501" w14:textId="77777777" w:rsidR="00AA4939" w:rsidRPr="00EB206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0516E" w14:textId="77777777" w:rsidR="00AA4939" w:rsidRPr="00EB206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0A92D" w14:textId="77777777" w:rsidR="00AA4939" w:rsidRPr="00EB2067" w:rsidRDefault="00AA4939" w:rsidP="00AA49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40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6F05F" w14:textId="77777777" w:rsidR="00AA4939" w:rsidRPr="00EB2067" w:rsidRDefault="00AA4939" w:rsidP="00AA49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0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06239" w14:textId="77777777" w:rsidR="00AA4939" w:rsidRPr="00EB2067" w:rsidRDefault="00AA4939" w:rsidP="00AA49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2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50C56" w14:textId="77777777" w:rsidR="00AA4939" w:rsidRPr="00EB206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A4939" w:rsidRPr="00C90707" w14:paraId="5E96A1C5" w14:textId="77777777" w:rsidTr="00930AC2"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EDE0AD" w14:textId="77777777" w:rsidR="00AA4939" w:rsidRPr="00EB206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1451B" w14:textId="77777777" w:rsidR="00AA4939" w:rsidRPr="00EB206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50B2F" w14:textId="77777777" w:rsidR="00AA4939" w:rsidRPr="00EB206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AAC9D" w14:textId="77777777" w:rsidR="00AA4939" w:rsidRPr="00EB206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0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CF91F" w14:textId="77777777" w:rsidR="00AA4939" w:rsidRPr="00EB206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155E" w14:textId="77777777" w:rsidR="00AA4939" w:rsidRPr="00EB206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A4939" w:rsidRPr="00C90707" w14:paraId="522ACAFB" w14:textId="77777777" w:rsidTr="00930AC2">
        <w:trPr>
          <w:trHeight w:val="331"/>
        </w:trPr>
        <w:tc>
          <w:tcPr>
            <w:tcW w:w="2235" w:type="dxa"/>
            <w:gridSpan w:val="5"/>
            <w:shd w:val="clear" w:color="auto" w:fill="auto"/>
            <w:vAlign w:val="center"/>
          </w:tcPr>
          <w:p w14:paraId="514F7E40" w14:textId="77777777" w:rsidR="00AA4939" w:rsidRPr="00EB2067" w:rsidRDefault="00AA4939" w:rsidP="00AA493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39" w:type="dxa"/>
            <w:gridSpan w:val="26"/>
            <w:shd w:val="clear" w:color="auto" w:fill="auto"/>
            <w:vAlign w:val="center"/>
          </w:tcPr>
          <w:p w14:paraId="71AB42B3" w14:textId="6A883537" w:rsidR="00AA4939" w:rsidRPr="00EB2067" w:rsidRDefault="00AA4939" w:rsidP="00AA49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</w:p>
        </w:tc>
      </w:tr>
      <w:tr w:rsidR="00AA4939" w:rsidRPr="00C90707" w14:paraId="617248CD" w14:textId="77777777" w:rsidTr="00714AD0">
        <w:trPr>
          <w:trHeight w:val="101"/>
        </w:trPr>
        <w:tc>
          <w:tcPr>
            <w:tcW w:w="1077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A4939" w:rsidRPr="00EB206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A4939" w:rsidRPr="00C90707" w14:paraId="1515C769" w14:textId="77777777" w:rsidTr="00714AD0">
        <w:trPr>
          <w:trHeight w:val="202"/>
        </w:trPr>
        <w:tc>
          <w:tcPr>
            <w:tcW w:w="49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AA4939" w:rsidRPr="00EB2067" w:rsidRDefault="00AA4939" w:rsidP="00AA49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8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9FCCDE6" w:rsidR="00AA4939" w:rsidRPr="000E320E" w:rsidRDefault="00AA4939" w:rsidP="00AA49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.06.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AA4939" w:rsidRPr="00C90707" w14:paraId="71BEA872" w14:textId="77777777" w:rsidTr="00714AD0">
        <w:trPr>
          <w:trHeight w:val="92"/>
        </w:trPr>
        <w:tc>
          <w:tcPr>
            <w:tcW w:w="4961" w:type="dxa"/>
            <w:gridSpan w:val="1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AA4939" w:rsidRPr="00EB2067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61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AA4939" w:rsidRPr="00EB2067" w:rsidRDefault="00AA4939" w:rsidP="00AA49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6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AA4939" w:rsidRPr="00EB2067" w:rsidRDefault="00AA4939" w:rsidP="00AA49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AA4939" w:rsidRPr="00C90707" w14:paraId="04C80107" w14:textId="77777777" w:rsidTr="00714AD0">
        <w:trPr>
          <w:trHeight w:val="72"/>
        </w:trPr>
        <w:tc>
          <w:tcPr>
            <w:tcW w:w="4961" w:type="dxa"/>
            <w:gridSpan w:val="1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AA4939" w:rsidRPr="00EB2067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61" w:type="dxa"/>
            <w:gridSpan w:val="1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3D08E5EA" w:rsidR="00AA4939" w:rsidRPr="00447ED3" w:rsidRDefault="00AA4939" w:rsidP="00AA49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2163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.06.2026</w:t>
            </w:r>
          </w:p>
        </w:tc>
        <w:tc>
          <w:tcPr>
            <w:tcW w:w="26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1DF542C" w:rsidR="00AA4939" w:rsidRPr="00447ED3" w:rsidRDefault="00AA4939" w:rsidP="00AA49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2163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.06.2026</w:t>
            </w:r>
          </w:p>
        </w:tc>
      </w:tr>
      <w:tr w:rsidR="00AA4939" w:rsidRPr="00C90707" w14:paraId="2254FA5C" w14:textId="28F34143" w:rsidTr="00714AD0">
        <w:trPr>
          <w:trHeight w:val="344"/>
        </w:trPr>
        <w:tc>
          <w:tcPr>
            <w:tcW w:w="4961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AA4939" w:rsidRPr="00EB2067" w:rsidRDefault="00AA4939" w:rsidP="00AA49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13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71B6FA6" w14:textId="171BEBB7" w:rsidR="00AA4939" w:rsidRPr="00984D19" w:rsidRDefault="00216339" w:rsidP="00AA49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</w:t>
            </w:r>
            <w:r w:rsidR="00AA493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.06.2026</w:t>
            </w:r>
          </w:p>
        </w:tc>
      </w:tr>
      <w:tr w:rsidR="00AA4939" w:rsidRPr="00C90707" w14:paraId="3C75DA26" w14:textId="77777777" w:rsidTr="00714AD0">
        <w:trPr>
          <w:trHeight w:val="344"/>
        </w:trPr>
        <w:tc>
          <w:tcPr>
            <w:tcW w:w="49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AA4939" w:rsidRPr="00EB2067" w:rsidRDefault="00AA4939" w:rsidP="00AA49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13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1E9104E7" w14:textId="4CC94A15" w:rsidR="00AA4939" w:rsidRPr="00F30A71" w:rsidRDefault="00AA4939" w:rsidP="00AA49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2163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.06.2026</w:t>
            </w:r>
          </w:p>
        </w:tc>
      </w:tr>
      <w:tr w:rsidR="00AA4939" w:rsidRPr="00C90707" w14:paraId="0682C6BE" w14:textId="77777777" w:rsidTr="00714AD0">
        <w:trPr>
          <w:trHeight w:val="344"/>
        </w:trPr>
        <w:tc>
          <w:tcPr>
            <w:tcW w:w="49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AA4939" w:rsidRPr="00EB2067" w:rsidRDefault="00AA4939" w:rsidP="00AA49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5813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5293ADE3" w14:textId="6E698840" w:rsidR="00AA4939" w:rsidRPr="00334672" w:rsidRDefault="00AA4939" w:rsidP="00AA49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2163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.06.2026</w:t>
            </w:r>
          </w:p>
        </w:tc>
      </w:tr>
      <w:tr w:rsidR="00AA4939" w:rsidRPr="00C90707" w14:paraId="79A64497" w14:textId="77777777" w:rsidTr="00714AD0">
        <w:trPr>
          <w:trHeight w:val="288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620F225D" w14:textId="77777777" w:rsidR="00AA4939" w:rsidRPr="005B6BF2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AA4939" w:rsidRPr="00C90707" w14:paraId="4E4EA255" w14:textId="77777777" w:rsidTr="00930AC2"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AA4939" w:rsidRPr="00EB2067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AA4939" w:rsidRPr="00EB206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7514" w:type="dxa"/>
            <w:gridSpan w:val="23"/>
            <w:shd w:val="clear" w:color="auto" w:fill="auto"/>
            <w:vAlign w:val="center"/>
          </w:tcPr>
          <w:p w14:paraId="0A5086C3" w14:textId="77777777" w:rsidR="00AA4939" w:rsidRPr="00EB206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AA4939" w:rsidRPr="00C90707" w14:paraId="11F19FA1" w14:textId="77777777" w:rsidTr="00930AC2">
        <w:trPr>
          <w:trHeight w:val="143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39B67943" w14:textId="77777777" w:rsidR="00AA4939" w:rsidRPr="00EB2067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  <w:vAlign w:val="center"/>
          </w:tcPr>
          <w:p w14:paraId="2856C5C6" w14:textId="77777777" w:rsidR="00AA4939" w:rsidRPr="00EB206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AA4939" w:rsidRPr="00EB206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135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AA4939" w:rsidRPr="00EB206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AA4939" w:rsidRPr="00EB206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664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AA4939" w:rsidRPr="00EB206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14:paraId="0911FBB2" w14:textId="77777777" w:rsidR="00AA4939" w:rsidRPr="00EB206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AA4939" w:rsidRPr="00C90707" w14:paraId="4DC53241" w14:textId="77777777" w:rsidTr="00930AC2">
        <w:trPr>
          <w:trHeight w:val="50"/>
        </w:trPr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7D858D4B" w14:textId="77777777" w:rsidR="00AA4939" w:rsidRPr="00EB2067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  <w:vAlign w:val="center"/>
          </w:tcPr>
          <w:p w14:paraId="078A8417" w14:textId="77777777" w:rsidR="00AA4939" w:rsidRPr="00EB206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14:paraId="67FA13FC" w14:textId="77777777" w:rsidR="00AA4939" w:rsidRPr="00EB206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14:paraId="7FDD9C22" w14:textId="77777777" w:rsidR="00AA4939" w:rsidRPr="00EB206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73BBD2A3" w14:textId="77777777" w:rsidR="00AA4939" w:rsidRPr="00EB206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4" w:type="dxa"/>
            <w:gridSpan w:val="3"/>
            <w:vMerge/>
            <w:shd w:val="clear" w:color="auto" w:fill="auto"/>
            <w:vAlign w:val="center"/>
          </w:tcPr>
          <w:p w14:paraId="078CB506" w14:textId="77777777" w:rsidR="00AA4939" w:rsidRPr="00EB206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0" w:type="dxa"/>
            <w:gridSpan w:val="5"/>
            <w:shd w:val="clear" w:color="auto" w:fill="auto"/>
            <w:vAlign w:val="center"/>
          </w:tcPr>
          <w:p w14:paraId="3C0959C2" w14:textId="77777777" w:rsidR="00AA4939" w:rsidRPr="00EB206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A4939" w:rsidRPr="00C90707" w14:paraId="75FDA7D8" w14:textId="77777777" w:rsidTr="00930AC2">
        <w:trPr>
          <w:trHeight w:val="263"/>
        </w:trPr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A4939" w:rsidRPr="00EB2067" w:rsidRDefault="00AA4939" w:rsidP="00AA49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A4939" w:rsidRPr="00EB206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A4939" w:rsidRPr="00EB206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A4939" w:rsidRPr="00EB206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A4939" w:rsidRPr="00EB206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A4939" w:rsidRPr="00EB206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AA4939" w:rsidRPr="00EB206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1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5DF5FF7" w:rsidR="00AA4939" w:rsidRPr="00C90707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AA4939" w:rsidRPr="00C90707" w14:paraId="479AAC14" w14:textId="77777777" w:rsidTr="00984D19">
        <w:trPr>
          <w:trHeight w:val="267"/>
        </w:trPr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95B1A" w14:textId="0D350B12" w:rsidR="00AA4939" w:rsidRPr="00216339" w:rsidRDefault="002163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16339"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28B256" w14:textId="74F2E31B" w:rsidR="00AA4939" w:rsidRPr="00216339" w:rsidRDefault="002163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16339">
              <w:rPr>
                <w:rFonts w:ascii="Sylfaen" w:hAnsi="Sylfaen"/>
                <w:color w:val="000000"/>
                <w:sz w:val="18"/>
                <w:szCs w:val="18"/>
              </w:rPr>
              <w:t>Հասմիկ Օհանյան ԱՁ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E686E" w14:textId="06913932" w:rsidR="00AA4939" w:rsidRPr="00216339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16339">
              <w:rPr>
                <w:rFonts w:ascii="Sylfaen" w:hAnsi="Sylfaen"/>
                <w:color w:val="000000"/>
                <w:sz w:val="18"/>
                <w:szCs w:val="18"/>
              </w:rPr>
              <w:t>№ ՔՖԻ-ԳՀԱՊՁԲ-26/3</w:t>
            </w:r>
            <w:r w:rsidR="00216339" w:rsidRPr="00216339">
              <w:rPr>
                <w:rFonts w:ascii="Sylfaen" w:hAnsi="Sylfaen"/>
                <w:color w:val="000000"/>
                <w:sz w:val="18"/>
                <w:szCs w:val="18"/>
              </w:rPr>
              <w:t>4</w:t>
            </w:r>
            <w:r w:rsidRPr="00216339">
              <w:rPr>
                <w:rFonts w:ascii="Sylfaen" w:hAnsi="Sylfaen"/>
                <w:color w:val="000000"/>
                <w:sz w:val="18"/>
                <w:szCs w:val="18"/>
              </w:rPr>
              <w:t>-1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6091FFA" w14:textId="6AB42AFE" w:rsidR="00AA4939" w:rsidRPr="00EC0D16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0B60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2163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Pr="000B60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.06.2026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C6F65" w14:textId="7C5EB70F" w:rsidR="00AA4939" w:rsidRPr="00EC0D16" w:rsidRDefault="00AA4939" w:rsidP="0021633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Պայմանագիրը կնքելուց հետո </w:t>
            </w:r>
            <w:r w:rsidRPr="00421C9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եր</w:t>
            </w: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կու</w:t>
            </w:r>
            <w:r w:rsidRPr="00B0508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ամսվա ընթացքում</w:t>
            </w:r>
          </w:p>
        </w:tc>
        <w:tc>
          <w:tcPr>
            <w:tcW w:w="6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EA4AA9" w14:textId="55868A83" w:rsidR="00AA4939" w:rsidRPr="00EC0D16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8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F0E7C" w14:textId="257CA214" w:rsidR="00AA4939" w:rsidRPr="00EC0D16" w:rsidRDefault="00AA49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1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1B83C2" w14:textId="638D5DA7" w:rsidR="00AA4939" w:rsidRPr="00216339" w:rsidRDefault="00216339" w:rsidP="00AA493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1176000</w:t>
            </w:r>
          </w:p>
        </w:tc>
      </w:tr>
      <w:tr w:rsidR="00216339" w:rsidRPr="00C90707" w14:paraId="5F999BFB" w14:textId="77777777" w:rsidTr="00E54B7B">
        <w:trPr>
          <w:trHeight w:val="545"/>
        </w:trPr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CDB1A7" w14:textId="5712B6CD" w:rsidR="00216339" w:rsidRPr="00216339" w:rsidRDefault="00216339" w:rsidP="0021633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16339">
              <w:rPr>
                <w:rFonts w:ascii="Sylfaen" w:hAnsi="Sylfae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E251348" w14:textId="71EF2C3E" w:rsidR="00216339" w:rsidRPr="00216339" w:rsidRDefault="00216339" w:rsidP="0021633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AA4939">
              <w:rPr>
                <w:rFonts w:ascii="Sylfaen" w:hAnsi="Sylfaen"/>
                <w:color w:val="000000"/>
                <w:sz w:val="18"/>
                <w:szCs w:val="18"/>
              </w:rPr>
              <w:t>« Կոնցեռն Էներգոմաշ» ՓԲԸ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1932A" w14:textId="5868A167" w:rsidR="00216339" w:rsidRPr="00216339" w:rsidRDefault="00216339" w:rsidP="0021633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16339">
              <w:rPr>
                <w:rFonts w:ascii="Sylfaen" w:hAnsi="Sylfaen"/>
                <w:color w:val="000000"/>
                <w:sz w:val="18"/>
                <w:szCs w:val="18"/>
              </w:rPr>
              <w:t>№ ՔՖԻ-ԳՀԱՊՁԲ-26/34-2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D577C36" w14:textId="60888F82" w:rsidR="00216339" w:rsidRDefault="00216339" w:rsidP="00216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B60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22.06.2026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5082C" w14:textId="6CE08930" w:rsidR="00216339" w:rsidRPr="00EC0D16" w:rsidRDefault="00216339" w:rsidP="0021633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Պայմանագիրը կնքելուց հետո </w:t>
            </w:r>
            <w:r w:rsidRPr="00421C9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եր</w:t>
            </w: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կու</w:t>
            </w:r>
            <w:r w:rsidRPr="00B0508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ամսվա ընթացքում</w:t>
            </w:r>
          </w:p>
        </w:tc>
        <w:tc>
          <w:tcPr>
            <w:tcW w:w="6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750AE" w14:textId="7CFBDE96" w:rsidR="00216339" w:rsidRPr="00EC0D16" w:rsidRDefault="00216339" w:rsidP="0021633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8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BF151B" w14:textId="65970CE9" w:rsidR="00216339" w:rsidRPr="00EC0D16" w:rsidRDefault="00216339" w:rsidP="0021633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1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9963E1" w14:textId="01474726" w:rsidR="00216339" w:rsidRPr="00216339" w:rsidRDefault="00216339" w:rsidP="0021633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519600</w:t>
            </w:r>
          </w:p>
        </w:tc>
      </w:tr>
      <w:tr w:rsidR="00216339" w:rsidRPr="00C90707" w14:paraId="0E1DD568" w14:textId="77777777" w:rsidTr="00CD54DF">
        <w:trPr>
          <w:trHeight w:val="545"/>
        </w:trPr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D852DA" w14:textId="49BE21E0" w:rsidR="00216339" w:rsidRPr="00216339" w:rsidRDefault="00216339" w:rsidP="0021633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16339">
              <w:rPr>
                <w:rFonts w:ascii="Sylfaen" w:hAnsi="Sylfaen"/>
                <w:color w:val="000000"/>
                <w:sz w:val="18"/>
                <w:szCs w:val="18"/>
              </w:rPr>
              <w:lastRenderedPageBreak/>
              <w:t>2,6,7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F6D74" w14:textId="40CF7926" w:rsidR="00216339" w:rsidRPr="00AA4939" w:rsidRDefault="00216339" w:rsidP="0021633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AA4939">
              <w:rPr>
                <w:rFonts w:ascii="Sylfaen" w:hAnsi="Sylfaen"/>
                <w:color w:val="000000"/>
                <w:sz w:val="18"/>
                <w:szCs w:val="18"/>
              </w:rPr>
              <w:t>«Լաբ Ինդուստրի» ՍՊԸ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6E982" w14:textId="034863BC" w:rsidR="00216339" w:rsidRPr="00216339" w:rsidRDefault="00216339" w:rsidP="0021633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16339">
              <w:rPr>
                <w:rFonts w:ascii="Sylfaen" w:hAnsi="Sylfaen"/>
                <w:color w:val="000000"/>
                <w:sz w:val="18"/>
                <w:szCs w:val="18"/>
              </w:rPr>
              <w:t>№ ՔՖԻ-ԳՀԱՊՁԲ-26/34-2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2790F6D" w14:textId="05B35894" w:rsidR="00216339" w:rsidRPr="000B600B" w:rsidRDefault="00216339" w:rsidP="00216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B60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Pr="000B60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.06.2026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9D556" w14:textId="77777777" w:rsidR="00216339" w:rsidRDefault="00216339" w:rsidP="0021633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Մինչև</w:t>
            </w:r>
          </w:p>
          <w:p w14:paraId="79516AFD" w14:textId="07F5A44A" w:rsidR="00216339" w:rsidRPr="00EC0D16" w:rsidRDefault="00216339" w:rsidP="0021633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20</w:t>
            </w: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.12.2026</w:t>
            </w:r>
          </w:p>
        </w:tc>
        <w:tc>
          <w:tcPr>
            <w:tcW w:w="6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25410" w14:textId="4F032DBD" w:rsidR="00216339" w:rsidRPr="00EC0D16" w:rsidRDefault="00216339" w:rsidP="0021633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8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FC6CC" w14:textId="47FE8CFE" w:rsidR="00216339" w:rsidRPr="00EC0D16" w:rsidRDefault="00216339" w:rsidP="0021633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1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A69E9" w14:textId="4CBE9306" w:rsidR="00216339" w:rsidRPr="00216339" w:rsidRDefault="00216339" w:rsidP="0021633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866000</w:t>
            </w:r>
          </w:p>
        </w:tc>
      </w:tr>
      <w:tr w:rsidR="00216339" w:rsidRPr="00930AC2" w14:paraId="41E4ED39" w14:textId="77777777" w:rsidTr="00714AD0">
        <w:trPr>
          <w:trHeight w:val="150"/>
        </w:trPr>
        <w:tc>
          <w:tcPr>
            <w:tcW w:w="10774" w:type="dxa"/>
            <w:gridSpan w:val="31"/>
            <w:shd w:val="clear" w:color="auto" w:fill="auto"/>
            <w:vAlign w:val="center"/>
          </w:tcPr>
          <w:p w14:paraId="7265AE84" w14:textId="77777777" w:rsidR="00216339" w:rsidRPr="00EB2067" w:rsidRDefault="00216339" w:rsidP="00216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(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) 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</w:p>
        </w:tc>
      </w:tr>
      <w:tr w:rsidR="00216339" w:rsidRPr="00C90707" w14:paraId="1F657639" w14:textId="77777777" w:rsidTr="00930AC2">
        <w:trPr>
          <w:trHeight w:val="125"/>
        </w:trPr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16339" w:rsidRPr="00EB2067" w:rsidRDefault="00216339" w:rsidP="00216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8843D00" w:rsidR="00216339" w:rsidRPr="00EB2067" w:rsidRDefault="00216339" w:rsidP="00216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31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16339" w:rsidRPr="00EB2067" w:rsidRDefault="00216339" w:rsidP="00216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16339" w:rsidRPr="00EB2067" w:rsidRDefault="00216339" w:rsidP="00216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16339" w:rsidRPr="00EB2067" w:rsidRDefault="00216339" w:rsidP="00216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5716FC8" w:rsidR="00216339" w:rsidRPr="00C90707" w:rsidRDefault="00216339" w:rsidP="00216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216339" w:rsidRPr="00C90707" w14:paraId="7D4765F3" w14:textId="77777777" w:rsidTr="00930AC2">
        <w:trPr>
          <w:trHeight w:val="335"/>
        </w:trPr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9F9E0" w14:textId="6A932C0F" w:rsidR="00216339" w:rsidRPr="00B05080" w:rsidRDefault="00216339" w:rsidP="0021633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216339"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3E6A9" w14:textId="592DA8B4" w:rsidR="00216339" w:rsidRPr="00EC0D16" w:rsidRDefault="00216339" w:rsidP="0021633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16339">
              <w:rPr>
                <w:rFonts w:ascii="Sylfaen" w:hAnsi="Sylfaen"/>
                <w:color w:val="000000"/>
                <w:sz w:val="18"/>
                <w:szCs w:val="18"/>
              </w:rPr>
              <w:t>Հասմիկ Օհանյան ԱՁ</w:t>
            </w:r>
          </w:p>
        </w:tc>
        <w:tc>
          <w:tcPr>
            <w:tcW w:w="31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F956F" w14:textId="77777777" w:rsidR="00216339" w:rsidRPr="00216339" w:rsidRDefault="00216339" w:rsidP="00216339">
            <w:pPr>
              <w:widowControl w:val="0"/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1633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Ք.Երևան, Վրացական 4-րդ նրբ, 5շ., բն. 22</w:t>
            </w:r>
          </w:p>
          <w:p w14:paraId="22A4A488" w14:textId="0B748D6F" w:rsidR="00216339" w:rsidRPr="00C37530" w:rsidRDefault="00216339" w:rsidP="00216339">
            <w:pPr>
              <w:widowControl w:val="0"/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1633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Հեռ. 055 59-49-06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8C5A8" w14:textId="0AFF17D1" w:rsidR="00216339" w:rsidRPr="00C37530" w:rsidRDefault="00216339" w:rsidP="00216339">
            <w:pPr>
              <w:widowControl w:val="0"/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1633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ara555@mail.ru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3861C" w14:textId="048FBD1F" w:rsidR="00216339" w:rsidRPr="00C37530" w:rsidRDefault="00216339" w:rsidP="00216339">
            <w:pPr>
              <w:widowControl w:val="0"/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CD655" w14:textId="10E4A222" w:rsidR="00216339" w:rsidRPr="00EC0D16" w:rsidRDefault="00216339" w:rsidP="00216339">
            <w:pPr>
              <w:widowControl w:val="0"/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1633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20060696</w:t>
            </w:r>
          </w:p>
        </w:tc>
      </w:tr>
      <w:tr w:rsidR="00216339" w:rsidRPr="00C90707" w14:paraId="3F3BBF7A" w14:textId="77777777" w:rsidTr="00F51A56">
        <w:trPr>
          <w:trHeight w:val="125"/>
        </w:trPr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1F4C71" w14:textId="77CB098C" w:rsidR="00216339" w:rsidRPr="00984D19" w:rsidRDefault="00216339" w:rsidP="0021633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</w:rPr>
            </w:pPr>
            <w:r w:rsidRPr="00216339">
              <w:rPr>
                <w:rFonts w:ascii="Sylfaen" w:hAnsi="Sylfae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3C42E1E" w14:textId="28CA64D3" w:rsidR="00216339" w:rsidRPr="00B05080" w:rsidRDefault="00216339" w:rsidP="0021633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AA4939">
              <w:rPr>
                <w:rFonts w:ascii="Sylfaen" w:hAnsi="Sylfaen"/>
                <w:color w:val="000000"/>
                <w:sz w:val="18"/>
                <w:szCs w:val="18"/>
              </w:rPr>
              <w:t>« Կոնցեռն Էներգոմաշ» ՓԲԸ</w:t>
            </w:r>
          </w:p>
        </w:tc>
        <w:tc>
          <w:tcPr>
            <w:tcW w:w="311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30C450B" w14:textId="77777777" w:rsidR="00216339" w:rsidRPr="00216339" w:rsidRDefault="00216339" w:rsidP="00216339">
            <w:pPr>
              <w:widowControl w:val="0"/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1633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Ք.Երևան, Ազատության 26/8</w:t>
            </w:r>
          </w:p>
          <w:p w14:paraId="082A0F0A" w14:textId="38C1BED8" w:rsidR="00216339" w:rsidRPr="00C37530" w:rsidRDefault="00216339" w:rsidP="00216339">
            <w:pPr>
              <w:widowControl w:val="0"/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1633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Հեռ. 011 87-87-17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8FB9D0" w14:textId="084C1BA4" w:rsidR="00216339" w:rsidRPr="00C37530" w:rsidRDefault="00216339" w:rsidP="00216339">
            <w:pPr>
              <w:widowControl w:val="0"/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1633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lawyer@c-e.am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D84FD5" w14:textId="19571080" w:rsidR="00216339" w:rsidRPr="00C37530" w:rsidRDefault="00216339" w:rsidP="00216339">
            <w:pPr>
              <w:widowControl w:val="0"/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B6E1A" w14:textId="2E2CB6C3" w:rsidR="00216339" w:rsidRPr="00C37530" w:rsidRDefault="00216339" w:rsidP="00216339">
            <w:pPr>
              <w:widowControl w:val="0"/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1633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01210095</w:t>
            </w:r>
          </w:p>
        </w:tc>
      </w:tr>
      <w:tr w:rsidR="00216339" w:rsidRPr="00C90707" w14:paraId="10F4AD6C" w14:textId="77777777" w:rsidTr="00BD0C46">
        <w:trPr>
          <w:trHeight w:val="125"/>
        </w:trPr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08C975" w14:textId="778AC392" w:rsidR="00216339" w:rsidRDefault="00216339" w:rsidP="0021633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</w:rPr>
            </w:pPr>
            <w:r w:rsidRPr="00216339">
              <w:rPr>
                <w:rFonts w:ascii="Sylfaen" w:hAnsi="Sylfaen"/>
                <w:color w:val="000000"/>
                <w:sz w:val="18"/>
                <w:szCs w:val="18"/>
              </w:rPr>
              <w:t>2,6,7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55E94" w14:textId="217DBED6" w:rsidR="00216339" w:rsidRPr="00984D19" w:rsidRDefault="00216339" w:rsidP="0021633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AA4939">
              <w:rPr>
                <w:rFonts w:ascii="Sylfaen" w:hAnsi="Sylfaen"/>
                <w:color w:val="000000"/>
                <w:sz w:val="18"/>
                <w:szCs w:val="18"/>
              </w:rPr>
              <w:t>«Լաբ Ինդուստրի» ՍՊԸ</w:t>
            </w:r>
          </w:p>
        </w:tc>
        <w:tc>
          <w:tcPr>
            <w:tcW w:w="31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3C1F6" w14:textId="77777777" w:rsidR="00216339" w:rsidRPr="00216339" w:rsidRDefault="00216339" w:rsidP="00216339">
            <w:pPr>
              <w:widowControl w:val="0"/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1633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Ք.Երևան, Ծարավ Աղբյուրի փ., 137/2</w:t>
            </w:r>
          </w:p>
          <w:p w14:paraId="2EAA1BC6" w14:textId="0314F481" w:rsidR="00216339" w:rsidRPr="007A46B0" w:rsidRDefault="00216339" w:rsidP="00216339">
            <w:pPr>
              <w:widowControl w:val="0"/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1633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Հեռ. 091 20-26-05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843C2" w14:textId="55F4AF56" w:rsidR="00216339" w:rsidRPr="007A46B0" w:rsidRDefault="00216339" w:rsidP="00216339">
            <w:pPr>
              <w:widowControl w:val="0"/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1633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Hamest.tamrazyan@gmail.com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C5899" w14:textId="3C20C7DB" w:rsidR="00216339" w:rsidRPr="00C37530" w:rsidRDefault="00216339" w:rsidP="00216339">
            <w:pPr>
              <w:widowControl w:val="0"/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FA75E" w14:textId="046C2A77" w:rsidR="00216339" w:rsidRPr="007A46B0" w:rsidRDefault="00216339" w:rsidP="00216339">
            <w:pPr>
              <w:widowControl w:val="0"/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21633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00906213</w:t>
            </w:r>
          </w:p>
        </w:tc>
      </w:tr>
      <w:tr w:rsidR="00216339" w:rsidRPr="00C90707" w14:paraId="496A046D" w14:textId="77777777" w:rsidTr="007A46B0">
        <w:trPr>
          <w:trHeight w:val="60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393BE26B" w14:textId="0A72E738" w:rsidR="00216339" w:rsidRPr="00C90707" w:rsidRDefault="00216339" w:rsidP="00216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highlight w:val="yellow"/>
                <w:lang w:val="af-ZA" w:eastAsia="ru-RU"/>
              </w:rPr>
            </w:pPr>
          </w:p>
        </w:tc>
      </w:tr>
      <w:tr w:rsidR="00216339" w:rsidRPr="00216339" w14:paraId="3863A00B" w14:textId="77777777" w:rsidTr="007A46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9"/>
        </w:trPr>
        <w:tc>
          <w:tcPr>
            <w:tcW w:w="2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16339" w:rsidRPr="00C90707" w:rsidRDefault="00216339" w:rsidP="0021633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Այլ տեղեկություններ</w:t>
            </w:r>
          </w:p>
        </w:tc>
        <w:tc>
          <w:tcPr>
            <w:tcW w:w="822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D0600" w14:textId="2374FD2B" w:rsidR="00216339" w:rsidRPr="00216339" w:rsidRDefault="00216339" w:rsidP="00216339">
            <w:pPr>
              <w:jc w:val="both"/>
              <w:rPr>
                <w:rFonts w:ascii="Sylfaen" w:hAnsi="Sylfaen"/>
                <w:color w:val="000000"/>
                <w:sz w:val="18"/>
                <w:szCs w:val="18"/>
                <w:lang w:val="pt-BR"/>
              </w:rPr>
            </w:pPr>
            <w:r w:rsidRPr="00921DF9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Ծանոթություն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bookmarkStart w:id="0" w:name="_Hlk197459026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bookmarkEnd w:id="0"/>
            <w:r w:rsidRPr="00216339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4-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րդ</w:t>
            </w:r>
            <w:r w:rsidRPr="00216339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չափաբաժինը</w:t>
            </w:r>
            <w:r w:rsidRPr="00216339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հայտարարվել</w:t>
            </w:r>
            <w:r w:rsidRPr="00216339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է</w:t>
            </w:r>
            <w:r w:rsidRPr="00216339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չկայացած</w:t>
            </w:r>
          </w:p>
          <w:p w14:paraId="31BCF083" w14:textId="53BC1C12" w:rsidR="00216339" w:rsidRPr="00B05080" w:rsidRDefault="00216339" w:rsidP="0021633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16339" w:rsidRPr="00216339" w14:paraId="485BF528" w14:textId="77777777" w:rsidTr="00714AD0">
        <w:trPr>
          <w:trHeight w:val="288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60FF974B" w14:textId="77777777" w:rsidR="00216339" w:rsidRPr="00C90707" w:rsidRDefault="00216339" w:rsidP="00216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</w:p>
        </w:tc>
      </w:tr>
      <w:tr w:rsidR="00216339" w:rsidRPr="00AA4939" w14:paraId="7DB42300" w14:textId="77777777" w:rsidTr="00714AD0">
        <w:trPr>
          <w:trHeight w:val="288"/>
        </w:trPr>
        <w:tc>
          <w:tcPr>
            <w:tcW w:w="10774" w:type="dxa"/>
            <w:gridSpan w:val="31"/>
            <w:shd w:val="clear" w:color="auto" w:fill="auto"/>
            <w:vAlign w:val="center"/>
          </w:tcPr>
          <w:p w14:paraId="0AD8E25E" w14:textId="220FF687" w:rsidR="00216339" w:rsidRPr="00C90707" w:rsidRDefault="00216339" w:rsidP="00216339">
            <w:pPr>
              <w:widowControl w:val="0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երեք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:</w:t>
            </w:r>
          </w:p>
          <w:p w14:paraId="3D70D3AA" w14:textId="77777777" w:rsidR="00216339" w:rsidRPr="00C90707" w:rsidRDefault="00216339" w:rsidP="00216339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216339" w:rsidRPr="00C90707" w:rsidRDefault="00216339" w:rsidP="00216339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1)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: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</w:p>
          <w:p w14:paraId="1F4E4ACA" w14:textId="77777777" w:rsidR="00216339" w:rsidRPr="00C90707" w:rsidRDefault="00216339" w:rsidP="00216339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.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1997F28A" w14:textId="77777777" w:rsidR="00216339" w:rsidRPr="00C90707" w:rsidRDefault="00216339" w:rsidP="00216339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.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754052B9" w14:textId="77777777" w:rsidR="00216339" w:rsidRPr="00C90707" w:rsidRDefault="00216339" w:rsidP="00216339">
            <w:pPr>
              <w:shd w:val="clear" w:color="auto" w:fill="FFFFFF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2)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»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5.1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2-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3FB2850F" w14:textId="77777777" w:rsidR="00216339" w:rsidRPr="00C90707" w:rsidRDefault="00216339" w:rsidP="00216339">
            <w:pPr>
              <w:shd w:val="clear" w:color="auto" w:fill="FFFFFF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3)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3EA7620C" w14:textId="77777777" w:rsidR="00216339" w:rsidRPr="00C90707" w:rsidRDefault="00216339" w:rsidP="002163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4)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:</w:t>
            </w:r>
          </w:p>
          <w:p w14:paraId="366938C8" w14:textId="74B683F7" w:rsidR="00216339" w:rsidRPr="00C90707" w:rsidRDefault="00216339" w:rsidP="00216339">
            <w:pPr>
              <w:widowControl w:val="0"/>
              <w:spacing w:before="0" w:after="0"/>
              <w:ind w:left="0" w:firstLine="0"/>
              <w:jc w:val="both"/>
              <w:rPr>
                <w:sz w:val="14"/>
                <w:szCs w:val="14"/>
                <w:lang w:val="pt-BR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- </w:t>
            </w:r>
          </w:p>
        </w:tc>
      </w:tr>
      <w:tr w:rsidR="00216339" w:rsidRPr="00AA4939" w14:paraId="3CC8B38C" w14:textId="77777777" w:rsidTr="00714AD0">
        <w:trPr>
          <w:trHeight w:val="288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02AFA8BF" w14:textId="77777777" w:rsidR="00216339" w:rsidRPr="00C90707" w:rsidRDefault="00216339" w:rsidP="00216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16339" w:rsidRPr="00C90707" w:rsidRDefault="00216339" w:rsidP="00216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6339" w:rsidRPr="00AA4939" w14:paraId="5484FA73" w14:textId="77777777" w:rsidTr="00930AC2">
        <w:trPr>
          <w:trHeight w:val="475"/>
        </w:trPr>
        <w:tc>
          <w:tcPr>
            <w:tcW w:w="368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16339" w:rsidRPr="00C90707" w:rsidRDefault="00216339" w:rsidP="002163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088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71E23D47" w14:textId="77777777" w:rsidR="00216339" w:rsidRPr="00C90707" w:rsidRDefault="00216339" w:rsidP="00216339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իրականացվել են</w:t>
            </w:r>
          </w:p>
          <w:p w14:paraId="6FC786A2" w14:textId="0F55C308" w:rsidR="00216339" w:rsidRPr="00C90707" w:rsidRDefault="00216339" w:rsidP="002163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գ</w:t>
            </w:r>
            <w:r w:rsidRPr="00C907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նումների մասին ՀՀ օրենսդրությամբ</w:t>
            </w: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սահմանված հրապարակումները:</w:t>
            </w:r>
          </w:p>
        </w:tc>
      </w:tr>
      <w:tr w:rsidR="00216339" w:rsidRPr="00AA4939" w14:paraId="5A7FED5D" w14:textId="6827D5A8" w:rsidTr="00714AD0">
        <w:trPr>
          <w:trHeight w:val="50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7A66F2DC" w14:textId="77777777" w:rsidR="00216339" w:rsidRPr="00C90707" w:rsidRDefault="00216339" w:rsidP="002163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6339" w:rsidRPr="00AA4939" w14:paraId="40B30E88" w14:textId="77777777" w:rsidTr="00930AC2">
        <w:trPr>
          <w:trHeight w:val="427"/>
        </w:trPr>
        <w:tc>
          <w:tcPr>
            <w:tcW w:w="36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16339" w:rsidRPr="00C90707" w:rsidRDefault="00216339" w:rsidP="002163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90707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08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7440036" w:rsidR="00216339" w:rsidRPr="00C90707" w:rsidRDefault="00216339" w:rsidP="002163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չեն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հայտնաբերվել:</w:t>
            </w:r>
          </w:p>
        </w:tc>
      </w:tr>
      <w:tr w:rsidR="00216339" w:rsidRPr="00AA4939" w14:paraId="541BD7F7" w14:textId="16C8ED43" w:rsidTr="00714AD0">
        <w:trPr>
          <w:trHeight w:val="50"/>
        </w:trPr>
        <w:tc>
          <w:tcPr>
            <w:tcW w:w="10774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16339" w:rsidRPr="00C90707" w:rsidRDefault="00216339" w:rsidP="00216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6339" w:rsidRPr="00AA4939" w14:paraId="4DE14D25" w14:textId="77777777" w:rsidTr="00930AC2">
        <w:trPr>
          <w:trHeight w:val="427"/>
        </w:trPr>
        <w:tc>
          <w:tcPr>
            <w:tcW w:w="36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16339" w:rsidRPr="00C90707" w:rsidRDefault="00216339" w:rsidP="002163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08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3C158DC" w:rsidR="00216339" w:rsidRPr="00C90707" w:rsidRDefault="00216339" w:rsidP="002163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216339" w:rsidRPr="00AA4939" w14:paraId="1DAD5D5C" w14:textId="77777777" w:rsidTr="00714AD0">
        <w:trPr>
          <w:trHeight w:val="288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57597369" w14:textId="77777777" w:rsidR="00216339" w:rsidRPr="00C90707" w:rsidRDefault="00216339" w:rsidP="00216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6339" w:rsidRPr="00C90707" w14:paraId="5F667D89" w14:textId="77777777" w:rsidTr="00930AC2">
        <w:trPr>
          <w:trHeight w:val="50"/>
        </w:trPr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16339" w:rsidRPr="00C90707" w:rsidRDefault="00216339" w:rsidP="002163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16339" w:rsidRPr="00C90707" w:rsidRDefault="00216339" w:rsidP="002163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16339" w:rsidRPr="00C90707" w14:paraId="406B68D6" w14:textId="77777777" w:rsidTr="00714AD0">
        <w:trPr>
          <w:trHeight w:val="50"/>
        </w:trPr>
        <w:tc>
          <w:tcPr>
            <w:tcW w:w="10774" w:type="dxa"/>
            <w:gridSpan w:val="31"/>
            <w:shd w:val="clear" w:color="auto" w:fill="99CCFF"/>
            <w:vAlign w:val="center"/>
          </w:tcPr>
          <w:p w14:paraId="79EAD146" w14:textId="77777777" w:rsidR="00216339" w:rsidRPr="00C90707" w:rsidRDefault="00216339" w:rsidP="002163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6339" w:rsidRPr="00C90707" w14:paraId="1A2BD291" w14:textId="77777777" w:rsidTr="00714AD0">
        <w:trPr>
          <w:trHeight w:val="227"/>
        </w:trPr>
        <w:tc>
          <w:tcPr>
            <w:tcW w:w="10774" w:type="dxa"/>
            <w:gridSpan w:val="31"/>
            <w:shd w:val="clear" w:color="auto" w:fill="auto"/>
            <w:vAlign w:val="center"/>
          </w:tcPr>
          <w:p w14:paraId="73A19DB3" w14:textId="77777777" w:rsidR="00216339" w:rsidRPr="00C90707" w:rsidRDefault="00216339" w:rsidP="002163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16339" w:rsidRPr="00C90707" w14:paraId="002AF1AD" w14:textId="77777777" w:rsidTr="00930AC2">
        <w:trPr>
          <w:trHeight w:val="47"/>
        </w:trPr>
        <w:tc>
          <w:tcPr>
            <w:tcW w:w="31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16339" w:rsidRPr="00C90707" w:rsidRDefault="00216339" w:rsidP="002163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1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16339" w:rsidRPr="00C90707" w:rsidRDefault="00216339" w:rsidP="002163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4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16339" w:rsidRPr="00C90707" w:rsidRDefault="00216339" w:rsidP="002163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216339" w:rsidRPr="00C90707" w14:paraId="6C6C269C" w14:textId="77777777" w:rsidTr="00930AC2">
        <w:trPr>
          <w:trHeight w:val="47"/>
        </w:trPr>
        <w:tc>
          <w:tcPr>
            <w:tcW w:w="3181" w:type="dxa"/>
            <w:gridSpan w:val="7"/>
            <w:shd w:val="clear" w:color="auto" w:fill="auto"/>
            <w:vAlign w:val="center"/>
          </w:tcPr>
          <w:p w14:paraId="0A862370" w14:textId="7695093D" w:rsidR="00216339" w:rsidRPr="00C90707" w:rsidRDefault="00216339" w:rsidP="00216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Մարինա Մկրտչյան</w:t>
            </w:r>
          </w:p>
        </w:tc>
        <w:tc>
          <w:tcPr>
            <w:tcW w:w="4119" w:type="dxa"/>
            <w:gridSpan w:val="15"/>
            <w:shd w:val="clear" w:color="auto" w:fill="auto"/>
            <w:vAlign w:val="center"/>
          </w:tcPr>
          <w:p w14:paraId="570A2BE5" w14:textId="7AF7ECAE" w:rsidR="00216339" w:rsidRPr="00C90707" w:rsidRDefault="00216339" w:rsidP="002163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091 143-506</w:t>
            </w:r>
          </w:p>
        </w:tc>
        <w:tc>
          <w:tcPr>
            <w:tcW w:w="3474" w:type="dxa"/>
            <w:gridSpan w:val="9"/>
            <w:shd w:val="clear" w:color="auto" w:fill="auto"/>
            <w:vAlign w:val="center"/>
          </w:tcPr>
          <w:p w14:paraId="3C42DEDA" w14:textId="24D9ED1B" w:rsidR="00216339" w:rsidRPr="00C90707" w:rsidRDefault="00216339" w:rsidP="002163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mkrtchyanmarina99@gmail.com</w:t>
            </w:r>
          </w:p>
        </w:tc>
      </w:tr>
    </w:tbl>
    <w:p w14:paraId="380D03DA" w14:textId="77777777" w:rsidR="00390D70" w:rsidRPr="009D6B56" w:rsidRDefault="00390D70" w:rsidP="007A53CE">
      <w:pPr>
        <w:pStyle w:val="31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</w:p>
    <w:p w14:paraId="3CC0DF84" w14:textId="2287489B" w:rsidR="00821EA5" w:rsidRPr="00C90707" w:rsidRDefault="008B6BCD" w:rsidP="0078247F">
      <w:pPr>
        <w:pStyle w:val="31"/>
        <w:ind w:firstLine="709"/>
        <w:rPr>
          <w:rFonts w:ascii="GHEA Grapalat" w:hAnsi="GHEA Grapalat" w:cs="Sylfaen"/>
          <w:sz w:val="20"/>
          <w:lang w:val="hy-AM"/>
        </w:rPr>
      </w:pPr>
      <w:r w:rsidRPr="00FC6EC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 </w:t>
      </w:r>
      <w:r w:rsidRPr="00FC6EC2">
        <w:rPr>
          <w:rFonts w:ascii="GHEA Grapalat" w:hAnsi="GHEA Grapalat" w:cs="Sylfaen"/>
          <w:sz w:val="20"/>
          <w:lang w:val="af-ZA"/>
        </w:rPr>
        <w:t xml:space="preserve">&lt;&lt; </w:t>
      </w:r>
      <w:r w:rsidR="00FC6EC2">
        <w:rPr>
          <w:rFonts w:ascii="GHEA Grapalat" w:hAnsi="GHEA Grapalat" w:cs="Sylfaen"/>
          <w:sz w:val="20"/>
          <w:lang w:val="af-ZA"/>
        </w:rPr>
        <w:t>Ա.Բ.Նալբանդյանի անվան քիմիական ֆիզիկայի ինստիտուտ</w:t>
      </w:r>
      <w:r w:rsidRPr="00FC6EC2">
        <w:rPr>
          <w:rFonts w:ascii="GHEA Grapalat" w:hAnsi="GHEA Grapalat" w:cs="Sylfaen"/>
          <w:sz w:val="20"/>
          <w:lang w:val="af-ZA"/>
        </w:rPr>
        <w:t>&gt;&gt; ՊՈԱԿ</w:t>
      </w:r>
    </w:p>
    <w:sectPr w:rsidR="00821EA5" w:rsidRPr="00C90707" w:rsidSect="007A53CE">
      <w:pgSz w:w="11907" w:h="16840" w:code="9"/>
      <w:pgMar w:top="18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335EA" w14:textId="77777777" w:rsidR="001A3F76" w:rsidRDefault="001A3F76" w:rsidP="0022631D">
      <w:pPr>
        <w:spacing w:before="0" w:after="0"/>
      </w:pPr>
      <w:r>
        <w:separator/>
      </w:r>
    </w:p>
  </w:endnote>
  <w:endnote w:type="continuationSeparator" w:id="0">
    <w:p w14:paraId="22996FB4" w14:textId="77777777" w:rsidR="001A3F76" w:rsidRDefault="001A3F7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n AMU">
    <w:altName w:val="Tahoma"/>
    <w:charset w:val="00"/>
    <w:family w:val="auto"/>
    <w:pitch w:val="variable"/>
    <w:sig w:usb0="A1002EAF" w:usb1="4000000A" w:usb2="00000000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17101" w14:textId="77777777" w:rsidR="001A3F76" w:rsidRDefault="001A3F76" w:rsidP="0022631D">
      <w:pPr>
        <w:spacing w:before="0" w:after="0"/>
      </w:pPr>
      <w:r>
        <w:separator/>
      </w:r>
    </w:p>
  </w:footnote>
  <w:footnote w:type="continuationSeparator" w:id="0">
    <w:p w14:paraId="4EDF1A7A" w14:textId="77777777" w:rsidR="001A3F76" w:rsidRDefault="001A3F76" w:rsidP="0022631D">
      <w:pPr>
        <w:spacing w:before="0" w:after="0"/>
      </w:pPr>
      <w:r>
        <w:continuationSeparator/>
      </w:r>
    </w:p>
  </w:footnote>
  <w:footnote w:id="1">
    <w:p w14:paraId="73E33F31" w14:textId="058CEB05" w:rsidR="00F72429" w:rsidRPr="00541A77" w:rsidRDefault="00F72429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F72429" w:rsidRPr="002D0BF6" w:rsidRDefault="00F72429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F72429" w:rsidRPr="002D0BF6" w:rsidRDefault="00F72429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1241B87" w14:textId="77777777" w:rsidR="00AA4939" w:rsidRPr="002D0BF6" w:rsidRDefault="00AA4939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AA4939" w:rsidRPr="002D0BF6" w:rsidRDefault="00AA4939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6091"/>
    <w:multiLevelType w:val="hybridMultilevel"/>
    <w:tmpl w:val="C7E4116A"/>
    <w:lvl w:ilvl="0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8166864"/>
    <w:multiLevelType w:val="multilevel"/>
    <w:tmpl w:val="12EC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63639"/>
    <w:multiLevelType w:val="hybridMultilevel"/>
    <w:tmpl w:val="E71C98F4"/>
    <w:lvl w:ilvl="0" w:tplc="7A36E244">
      <w:start w:val="1"/>
      <w:numFmt w:val="bullet"/>
      <w:lvlText w:val="-"/>
      <w:lvlJc w:val="left"/>
      <w:pPr>
        <w:ind w:left="420" w:hanging="360"/>
      </w:pPr>
      <w:rPr>
        <w:rFonts w:ascii="Arian AMU" w:eastAsiaTheme="minorHAnsi" w:hAnsi="Arian AMU" w:cs="Arian AMU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B1F5C9E"/>
    <w:multiLevelType w:val="multilevel"/>
    <w:tmpl w:val="E4B6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919B5"/>
    <w:multiLevelType w:val="multilevel"/>
    <w:tmpl w:val="E42A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11357E"/>
    <w:multiLevelType w:val="multilevel"/>
    <w:tmpl w:val="9E5E2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3769FA"/>
    <w:multiLevelType w:val="hybridMultilevel"/>
    <w:tmpl w:val="BFA00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619DC"/>
    <w:multiLevelType w:val="multilevel"/>
    <w:tmpl w:val="75C0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A040A8"/>
    <w:multiLevelType w:val="hybridMultilevel"/>
    <w:tmpl w:val="7E0CF35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E4408FF"/>
    <w:multiLevelType w:val="multilevel"/>
    <w:tmpl w:val="7A86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C8580A"/>
    <w:multiLevelType w:val="multilevel"/>
    <w:tmpl w:val="64B4A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4E4D3A"/>
    <w:multiLevelType w:val="multilevel"/>
    <w:tmpl w:val="EDD0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C80A0E"/>
    <w:multiLevelType w:val="multilevel"/>
    <w:tmpl w:val="E38A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CF1E3F"/>
    <w:multiLevelType w:val="multilevel"/>
    <w:tmpl w:val="1BE4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826EB8"/>
    <w:multiLevelType w:val="hybridMultilevel"/>
    <w:tmpl w:val="B538A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D71A0"/>
    <w:multiLevelType w:val="hybridMultilevel"/>
    <w:tmpl w:val="47840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4B44B6"/>
    <w:multiLevelType w:val="multilevel"/>
    <w:tmpl w:val="93E8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544D78"/>
    <w:multiLevelType w:val="multilevel"/>
    <w:tmpl w:val="53C4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1"/>
  </w:num>
  <w:num w:numId="5">
    <w:abstractNumId w:val="17"/>
  </w:num>
  <w:num w:numId="6">
    <w:abstractNumId w:val="16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13"/>
  </w:num>
  <w:num w:numId="12">
    <w:abstractNumId w:val="12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8"/>
  </w:num>
  <w:num w:numId="18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470"/>
    <w:rsid w:val="0000494F"/>
    <w:rsid w:val="000111B8"/>
    <w:rsid w:val="00011CBF"/>
    <w:rsid w:val="00012170"/>
    <w:rsid w:val="00016F60"/>
    <w:rsid w:val="00017E9A"/>
    <w:rsid w:val="000206E1"/>
    <w:rsid w:val="00024425"/>
    <w:rsid w:val="00037112"/>
    <w:rsid w:val="00044EA8"/>
    <w:rsid w:val="00046CCF"/>
    <w:rsid w:val="00051ECE"/>
    <w:rsid w:val="00060000"/>
    <w:rsid w:val="000651E9"/>
    <w:rsid w:val="0007090E"/>
    <w:rsid w:val="0007293B"/>
    <w:rsid w:val="00073D66"/>
    <w:rsid w:val="00085196"/>
    <w:rsid w:val="000902E4"/>
    <w:rsid w:val="00095829"/>
    <w:rsid w:val="000A38A5"/>
    <w:rsid w:val="000B0199"/>
    <w:rsid w:val="000B0C1D"/>
    <w:rsid w:val="000B4202"/>
    <w:rsid w:val="000B5AF3"/>
    <w:rsid w:val="000C20DC"/>
    <w:rsid w:val="000C7688"/>
    <w:rsid w:val="000D5E6D"/>
    <w:rsid w:val="000D6840"/>
    <w:rsid w:val="000E320E"/>
    <w:rsid w:val="000E4FF1"/>
    <w:rsid w:val="000F288B"/>
    <w:rsid w:val="000F376D"/>
    <w:rsid w:val="000F3B3A"/>
    <w:rsid w:val="000F6D0D"/>
    <w:rsid w:val="000F7073"/>
    <w:rsid w:val="001021B0"/>
    <w:rsid w:val="00111989"/>
    <w:rsid w:val="001212B9"/>
    <w:rsid w:val="001267BE"/>
    <w:rsid w:val="00135551"/>
    <w:rsid w:val="00136621"/>
    <w:rsid w:val="00140CDF"/>
    <w:rsid w:val="00144865"/>
    <w:rsid w:val="0015121E"/>
    <w:rsid w:val="00153A01"/>
    <w:rsid w:val="0015480D"/>
    <w:rsid w:val="00163956"/>
    <w:rsid w:val="001652AC"/>
    <w:rsid w:val="00175A10"/>
    <w:rsid w:val="001762D9"/>
    <w:rsid w:val="0018422F"/>
    <w:rsid w:val="001871E4"/>
    <w:rsid w:val="001A1999"/>
    <w:rsid w:val="001A3F76"/>
    <w:rsid w:val="001B2F60"/>
    <w:rsid w:val="001B43DE"/>
    <w:rsid w:val="001C0460"/>
    <w:rsid w:val="001C0950"/>
    <w:rsid w:val="001C1BE1"/>
    <w:rsid w:val="001C4FEC"/>
    <w:rsid w:val="001D09A1"/>
    <w:rsid w:val="001D44F3"/>
    <w:rsid w:val="001D54CC"/>
    <w:rsid w:val="001D6758"/>
    <w:rsid w:val="001D6BD5"/>
    <w:rsid w:val="001E0091"/>
    <w:rsid w:val="001E749A"/>
    <w:rsid w:val="001F27B0"/>
    <w:rsid w:val="0020000B"/>
    <w:rsid w:val="002038BB"/>
    <w:rsid w:val="00204A4D"/>
    <w:rsid w:val="00205113"/>
    <w:rsid w:val="00216339"/>
    <w:rsid w:val="0022631D"/>
    <w:rsid w:val="00230F6B"/>
    <w:rsid w:val="00246A69"/>
    <w:rsid w:val="0025398E"/>
    <w:rsid w:val="00265E05"/>
    <w:rsid w:val="00266760"/>
    <w:rsid w:val="002679E1"/>
    <w:rsid w:val="00272E4A"/>
    <w:rsid w:val="00291BE9"/>
    <w:rsid w:val="00295B92"/>
    <w:rsid w:val="002A010D"/>
    <w:rsid w:val="002A6BE7"/>
    <w:rsid w:val="002B1958"/>
    <w:rsid w:val="002C4049"/>
    <w:rsid w:val="002C4C10"/>
    <w:rsid w:val="002D2749"/>
    <w:rsid w:val="002D38D9"/>
    <w:rsid w:val="002D4845"/>
    <w:rsid w:val="002D55C1"/>
    <w:rsid w:val="002E35C9"/>
    <w:rsid w:val="002E4E6F"/>
    <w:rsid w:val="002F16CC"/>
    <w:rsid w:val="002F1FEB"/>
    <w:rsid w:val="002F2C88"/>
    <w:rsid w:val="002F51F6"/>
    <w:rsid w:val="002F71BF"/>
    <w:rsid w:val="00301DA6"/>
    <w:rsid w:val="0030451A"/>
    <w:rsid w:val="00306B85"/>
    <w:rsid w:val="003079D2"/>
    <w:rsid w:val="00310430"/>
    <w:rsid w:val="003215C2"/>
    <w:rsid w:val="00322479"/>
    <w:rsid w:val="00334672"/>
    <w:rsid w:val="00340475"/>
    <w:rsid w:val="00351B58"/>
    <w:rsid w:val="003608A4"/>
    <w:rsid w:val="00363EAD"/>
    <w:rsid w:val="00367CDA"/>
    <w:rsid w:val="00371B1D"/>
    <w:rsid w:val="00372F0E"/>
    <w:rsid w:val="00381CA4"/>
    <w:rsid w:val="00382933"/>
    <w:rsid w:val="003844E2"/>
    <w:rsid w:val="0038560E"/>
    <w:rsid w:val="00390552"/>
    <w:rsid w:val="00390625"/>
    <w:rsid w:val="00390D70"/>
    <w:rsid w:val="00394E6D"/>
    <w:rsid w:val="003A12DC"/>
    <w:rsid w:val="003A15F6"/>
    <w:rsid w:val="003A69CC"/>
    <w:rsid w:val="003B2758"/>
    <w:rsid w:val="003B60DB"/>
    <w:rsid w:val="003C0294"/>
    <w:rsid w:val="003E09AC"/>
    <w:rsid w:val="003E3D40"/>
    <w:rsid w:val="003E6978"/>
    <w:rsid w:val="003F1397"/>
    <w:rsid w:val="00421C99"/>
    <w:rsid w:val="004244FB"/>
    <w:rsid w:val="00433E3C"/>
    <w:rsid w:val="004365E0"/>
    <w:rsid w:val="00447ED3"/>
    <w:rsid w:val="00447F9B"/>
    <w:rsid w:val="00452706"/>
    <w:rsid w:val="00463702"/>
    <w:rsid w:val="00464A9C"/>
    <w:rsid w:val="00464BE8"/>
    <w:rsid w:val="00472069"/>
    <w:rsid w:val="00474C2F"/>
    <w:rsid w:val="004764CD"/>
    <w:rsid w:val="00476C1F"/>
    <w:rsid w:val="004843EB"/>
    <w:rsid w:val="004864EB"/>
    <w:rsid w:val="004875E0"/>
    <w:rsid w:val="00490E30"/>
    <w:rsid w:val="00491F2C"/>
    <w:rsid w:val="00495AAA"/>
    <w:rsid w:val="004A11A5"/>
    <w:rsid w:val="004A5BA5"/>
    <w:rsid w:val="004A628E"/>
    <w:rsid w:val="004C6127"/>
    <w:rsid w:val="004D078F"/>
    <w:rsid w:val="004D4036"/>
    <w:rsid w:val="004E376E"/>
    <w:rsid w:val="004F682D"/>
    <w:rsid w:val="004F6F5A"/>
    <w:rsid w:val="004F734F"/>
    <w:rsid w:val="004F7F73"/>
    <w:rsid w:val="00503BCC"/>
    <w:rsid w:val="00506841"/>
    <w:rsid w:val="00515C3E"/>
    <w:rsid w:val="00516019"/>
    <w:rsid w:val="00520511"/>
    <w:rsid w:val="0053408D"/>
    <w:rsid w:val="00546023"/>
    <w:rsid w:val="00553749"/>
    <w:rsid w:val="005538FE"/>
    <w:rsid w:val="00561140"/>
    <w:rsid w:val="005633E8"/>
    <w:rsid w:val="00565E51"/>
    <w:rsid w:val="005734FE"/>
    <w:rsid w:val="005737F9"/>
    <w:rsid w:val="00575C12"/>
    <w:rsid w:val="00577A33"/>
    <w:rsid w:val="005947B8"/>
    <w:rsid w:val="005A436E"/>
    <w:rsid w:val="005B52F7"/>
    <w:rsid w:val="005B6BF2"/>
    <w:rsid w:val="005C0714"/>
    <w:rsid w:val="005C7E53"/>
    <w:rsid w:val="005D5FBD"/>
    <w:rsid w:val="005F170F"/>
    <w:rsid w:val="005F63D8"/>
    <w:rsid w:val="006032A1"/>
    <w:rsid w:val="00603E76"/>
    <w:rsid w:val="00607C9A"/>
    <w:rsid w:val="00610C7F"/>
    <w:rsid w:val="00622C8B"/>
    <w:rsid w:val="00624F10"/>
    <w:rsid w:val="006324D6"/>
    <w:rsid w:val="00632571"/>
    <w:rsid w:val="0064437A"/>
    <w:rsid w:val="00646760"/>
    <w:rsid w:val="006538C5"/>
    <w:rsid w:val="0065711E"/>
    <w:rsid w:val="0065720A"/>
    <w:rsid w:val="00663EC4"/>
    <w:rsid w:val="00664869"/>
    <w:rsid w:val="00665C9E"/>
    <w:rsid w:val="00674776"/>
    <w:rsid w:val="006848C0"/>
    <w:rsid w:val="00690ECB"/>
    <w:rsid w:val="00693705"/>
    <w:rsid w:val="00695904"/>
    <w:rsid w:val="006971F4"/>
    <w:rsid w:val="006A38B4"/>
    <w:rsid w:val="006A5A4D"/>
    <w:rsid w:val="006B2E21"/>
    <w:rsid w:val="006B2ECA"/>
    <w:rsid w:val="006C0266"/>
    <w:rsid w:val="006C0B34"/>
    <w:rsid w:val="006C7FE5"/>
    <w:rsid w:val="006D09AE"/>
    <w:rsid w:val="006D0C0E"/>
    <w:rsid w:val="006D1B63"/>
    <w:rsid w:val="006E01EE"/>
    <w:rsid w:val="006E0D92"/>
    <w:rsid w:val="006E1A83"/>
    <w:rsid w:val="006E66E8"/>
    <w:rsid w:val="006F2779"/>
    <w:rsid w:val="007044B6"/>
    <w:rsid w:val="007060FC"/>
    <w:rsid w:val="00706354"/>
    <w:rsid w:val="00714AD0"/>
    <w:rsid w:val="00716742"/>
    <w:rsid w:val="00721D12"/>
    <w:rsid w:val="007246CC"/>
    <w:rsid w:val="00730A42"/>
    <w:rsid w:val="00736285"/>
    <w:rsid w:val="00741851"/>
    <w:rsid w:val="00744D6A"/>
    <w:rsid w:val="0075246C"/>
    <w:rsid w:val="0077072A"/>
    <w:rsid w:val="00771035"/>
    <w:rsid w:val="007732E7"/>
    <w:rsid w:val="00777C9E"/>
    <w:rsid w:val="0078247F"/>
    <w:rsid w:val="0078682E"/>
    <w:rsid w:val="00791F91"/>
    <w:rsid w:val="007A0422"/>
    <w:rsid w:val="007A270E"/>
    <w:rsid w:val="007A324A"/>
    <w:rsid w:val="007A46B0"/>
    <w:rsid w:val="007A53CE"/>
    <w:rsid w:val="007A78C5"/>
    <w:rsid w:val="007C45D5"/>
    <w:rsid w:val="007D239B"/>
    <w:rsid w:val="007D2DB4"/>
    <w:rsid w:val="007D2FBF"/>
    <w:rsid w:val="007F138E"/>
    <w:rsid w:val="007F2DEB"/>
    <w:rsid w:val="0080118E"/>
    <w:rsid w:val="0081420B"/>
    <w:rsid w:val="00814B4C"/>
    <w:rsid w:val="00816E31"/>
    <w:rsid w:val="00821EA5"/>
    <w:rsid w:val="00825EBF"/>
    <w:rsid w:val="008260CF"/>
    <w:rsid w:val="00832B2D"/>
    <w:rsid w:val="00835021"/>
    <w:rsid w:val="00841981"/>
    <w:rsid w:val="00863DA9"/>
    <w:rsid w:val="00865D2A"/>
    <w:rsid w:val="00871FDD"/>
    <w:rsid w:val="00872312"/>
    <w:rsid w:val="008830C4"/>
    <w:rsid w:val="00885694"/>
    <w:rsid w:val="008B2FE1"/>
    <w:rsid w:val="008B4EEE"/>
    <w:rsid w:val="008B6BCD"/>
    <w:rsid w:val="008C4E62"/>
    <w:rsid w:val="008C51C3"/>
    <w:rsid w:val="008C7C15"/>
    <w:rsid w:val="008E2355"/>
    <w:rsid w:val="008E28E4"/>
    <w:rsid w:val="008E493A"/>
    <w:rsid w:val="008E6C71"/>
    <w:rsid w:val="008E78FD"/>
    <w:rsid w:val="008F18BE"/>
    <w:rsid w:val="008F3F5A"/>
    <w:rsid w:val="009158C2"/>
    <w:rsid w:val="0091707B"/>
    <w:rsid w:val="009202FC"/>
    <w:rsid w:val="00921DF9"/>
    <w:rsid w:val="00923136"/>
    <w:rsid w:val="00927B3A"/>
    <w:rsid w:val="00930AC2"/>
    <w:rsid w:val="00933E25"/>
    <w:rsid w:val="009365B2"/>
    <w:rsid w:val="009755D6"/>
    <w:rsid w:val="0097610F"/>
    <w:rsid w:val="00984D19"/>
    <w:rsid w:val="00987C48"/>
    <w:rsid w:val="009A33AC"/>
    <w:rsid w:val="009B396E"/>
    <w:rsid w:val="009B3EEE"/>
    <w:rsid w:val="009C5A57"/>
    <w:rsid w:val="009C5E0F"/>
    <w:rsid w:val="009D1293"/>
    <w:rsid w:val="009D21E2"/>
    <w:rsid w:val="009D6B56"/>
    <w:rsid w:val="009D7B82"/>
    <w:rsid w:val="009E01F7"/>
    <w:rsid w:val="009E514F"/>
    <w:rsid w:val="009E75FF"/>
    <w:rsid w:val="009F1D85"/>
    <w:rsid w:val="00A13323"/>
    <w:rsid w:val="00A2159C"/>
    <w:rsid w:val="00A22314"/>
    <w:rsid w:val="00A306F5"/>
    <w:rsid w:val="00A31820"/>
    <w:rsid w:val="00A32871"/>
    <w:rsid w:val="00A4112A"/>
    <w:rsid w:val="00A45261"/>
    <w:rsid w:val="00A4547E"/>
    <w:rsid w:val="00A4701D"/>
    <w:rsid w:val="00A477D4"/>
    <w:rsid w:val="00A47A6C"/>
    <w:rsid w:val="00A52E6F"/>
    <w:rsid w:val="00A6706D"/>
    <w:rsid w:val="00A70B8E"/>
    <w:rsid w:val="00A71539"/>
    <w:rsid w:val="00A83E96"/>
    <w:rsid w:val="00A84A5B"/>
    <w:rsid w:val="00A86267"/>
    <w:rsid w:val="00A9113D"/>
    <w:rsid w:val="00A91CDC"/>
    <w:rsid w:val="00A92E18"/>
    <w:rsid w:val="00A95017"/>
    <w:rsid w:val="00AA32E4"/>
    <w:rsid w:val="00AA4939"/>
    <w:rsid w:val="00AA749A"/>
    <w:rsid w:val="00AB757C"/>
    <w:rsid w:val="00AC0A1D"/>
    <w:rsid w:val="00AC2484"/>
    <w:rsid w:val="00AD07B9"/>
    <w:rsid w:val="00AD59DC"/>
    <w:rsid w:val="00AE034D"/>
    <w:rsid w:val="00AF02B2"/>
    <w:rsid w:val="00AF14F7"/>
    <w:rsid w:val="00B05080"/>
    <w:rsid w:val="00B0605B"/>
    <w:rsid w:val="00B06290"/>
    <w:rsid w:val="00B07E1B"/>
    <w:rsid w:val="00B15ABB"/>
    <w:rsid w:val="00B15B13"/>
    <w:rsid w:val="00B16186"/>
    <w:rsid w:val="00B203A7"/>
    <w:rsid w:val="00B243BC"/>
    <w:rsid w:val="00B24E08"/>
    <w:rsid w:val="00B30042"/>
    <w:rsid w:val="00B368B2"/>
    <w:rsid w:val="00B37B89"/>
    <w:rsid w:val="00B4067B"/>
    <w:rsid w:val="00B47CFA"/>
    <w:rsid w:val="00B546E1"/>
    <w:rsid w:val="00B6206E"/>
    <w:rsid w:val="00B62667"/>
    <w:rsid w:val="00B64466"/>
    <w:rsid w:val="00B75762"/>
    <w:rsid w:val="00B7732F"/>
    <w:rsid w:val="00B81939"/>
    <w:rsid w:val="00B837C1"/>
    <w:rsid w:val="00B83F2C"/>
    <w:rsid w:val="00B91DE2"/>
    <w:rsid w:val="00B94EA2"/>
    <w:rsid w:val="00BA03B0"/>
    <w:rsid w:val="00BB0A93"/>
    <w:rsid w:val="00BC06CA"/>
    <w:rsid w:val="00BC5B8B"/>
    <w:rsid w:val="00BC76D1"/>
    <w:rsid w:val="00BD1A47"/>
    <w:rsid w:val="00BD3D4E"/>
    <w:rsid w:val="00BE168B"/>
    <w:rsid w:val="00BE24B6"/>
    <w:rsid w:val="00BF1465"/>
    <w:rsid w:val="00BF1B99"/>
    <w:rsid w:val="00BF4745"/>
    <w:rsid w:val="00C17924"/>
    <w:rsid w:val="00C247A6"/>
    <w:rsid w:val="00C27E16"/>
    <w:rsid w:val="00C37530"/>
    <w:rsid w:val="00C3761F"/>
    <w:rsid w:val="00C52493"/>
    <w:rsid w:val="00C72AEB"/>
    <w:rsid w:val="00C808C7"/>
    <w:rsid w:val="00C84DF7"/>
    <w:rsid w:val="00C8668F"/>
    <w:rsid w:val="00C90707"/>
    <w:rsid w:val="00C93439"/>
    <w:rsid w:val="00C96337"/>
    <w:rsid w:val="00C96BED"/>
    <w:rsid w:val="00CA0E25"/>
    <w:rsid w:val="00CA4914"/>
    <w:rsid w:val="00CB2B8B"/>
    <w:rsid w:val="00CB44D2"/>
    <w:rsid w:val="00CB6309"/>
    <w:rsid w:val="00CC1F23"/>
    <w:rsid w:val="00CC2F24"/>
    <w:rsid w:val="00CC3878"/>
    <w:rsid w:val="00CC769E"/>
    <w:rsid w:val="00CF09B2"/>
    <w:rsid w:val="00CF110A"/>
    <w:rsid w:val="00CF1F70"/>
    <w:rsid w:val="00CF44E0"/>
    <w:rsid w:val="00CF7CEC"/>
    <w:rsid w:val="00D0449E"/>
    <w:rsid w:val="00D12B9A"/>
    <w:rsid w:val="00D17360"/>
    <w:rsid w:val="00D2116F"/>
    <w:rsid w:val="00D273D0"/>
    <w:rsid w:val="00D31192"/>
    <w:rsid w:val="00D3445E"/>
    <w:rsid w:val="00D350DE"/>
    <w:rsid w:val="00D36189"/>
    <w:rsid w:val="00D424CB"/>
    <w:rsid w:val="00D5534E"/>
    <w:rsid w:val="00D63948"/>
    <w:rsid w:val="00D67517"/>
    <w:rsid w:val="00D7243F"/>
    <w:rsid w:val="00D77F78"/>
    <w:rsid w:val="00D80C64"/>
    <w:rsid w:val="00D811F9"/>
    <w:rsid w:val="00D81AAD"/>
    <w:rsid w:val="00D86204"/>
    <w:rsid w:val="00D87174"/>
    <w:rsid w:val="00D9323F"/>
    <w:rsid w:val="00DA5FC7"/>
    <w:rsid w:val="00DB011A"/>
    <w:rsid w:val="00DB432D"/>
    <w:rsid w:val="00DB6E1D"/>
    <w:rsid w:val="00DC2D57"/>
    <w:rsid w:val="00DC75F6"/>
    <w:rsid w:val="00DE06F1"/>
    <w:rsid w:val="00DE6AC2"/>
    <w:rsid w:val="00DF1B19"/>
    <w:rsid w:val="00DF28DB"/>
    <w:rsid w:val="00DF3D93"/>
    <w:rsid w:val="00E00769"/>
    <w:rsid w:val="00E03D81"/>
    <w:rsid w:val="00E04574"/>
    <w:rsid w:val="00E06C50"/>
    <w:rsid w:val="00E21DCB"/>
    <w:rsid w:val="00E243EA"/>
    <w:rsid w:val="00E24754"/>
    <w:rsid w:val="00E24B66"/>
    <w:rsid w:val="00E33A25"/>
    <w:rsid w:val="00E36A62"/>
    <w:rsid w:val="00E41248"/>
    <w:rsid w:val="00E4188B"/>
    <w:rsid w:val="00E42857"/>
    <w:rsid w:val="00E43D33"/>
    <w:rsid w:val="00E47280"/>
    <w:rsid w:val="00E54C4D"/>
    <w:rsid w:val="00E55E34"/>
    <w:rsid w:val="00E56328"/>
    <w:rsid w:val="00E624F3"/>
    <w:rsid w:val="00E637C9"/>
    <w:rsid w:val="00E662FF"/>
    <w:rsid w:val="00E713E7"/>
    <w:rsid w:val="00E852E3"/>
    <w:rsid w:val="00E8619E"/>
    <w:rsid w:val="00E905B3"/>
    <w:rsid w:val="00E914A8"/>
    <w:rsid w:val="00E91B0A"/>
    <w:rsid w:val="00E97AFA"/>
    <w:rsid w:val="00EA01A2"/>
    <w:rsid w:val="00EA051C"/>
    <w:rsid w:val="00EA1944"/>
    <w:rsid w:val="00EA228B"/>
    <w:rsid w:val="00EA568C"/>
    <w:rsid w:val="00EA6B8A"/>
    <w:rsid w:val="00EA767F"/>
    <w:rsid w:val="00EB2067"/>
    <w:rsid w:val="00EB59EE"/>
    <w:rsid w:val="00EB6894"/>
    <w:rsid w:val="00EC00AF"/>
    <w:rsid w:val="00EC0D16"/>
    <w:rsid w:val="00EC623D"/>
    <w:rsid w:val="00EC7134"/>
    <w:rsid w:val="00ED776D"/>
    <w:rsid w:val="00EE4AAD"/>
    <w:rsid w:val="00EF030A"/>
    <w:rsid w:val="00EF16D0"/>
    <w:rsid w:val="00F10AFE"/>
    <w:rsid w:val="00F13DEE"/>
    <w:rsid w:val="00F25381"/>
    <w:rsid w:val="00F30A71"/>
    <w:rsid w:val="00F31004"/>
    <w:rsid w:val="00F359E9"/>
    <w:rsid w:val="00F550F2"/>
    <w:rsid w:val="00F62653"/>
    <w:rsid w:val="00F64167"/>
    <w:rsid w:val="00F6673B"/>
    <w:rsid w:val="00F72429"/>
    <w:rsid w:val="00F730F8"/>
    <w:rsid w:val="00F73808"/>
    <w:rsid w:val="00F73CE6"/>
    <w:rsid w:val="00F77AAD"/>
    <w:rsid w:val="00F87395"/>
    <w:rsid w:val="00F916C4"/>
    <w:rsid w:val="00F968DD"/>
    <w:rsid w:val="00F979C4"/>
    <w:rsid w:val="00FA30DE"/>
    <w:rsid w:val="00FB097B"/>
    <w:rsid w:val="00FB1856"/>
    <w:rsid w:val="00FB49FE"/>
    <w:rsid w:val="00FB7D6B"/>
    <w:rsid w:val="00FC39C0"/>
    <w:rsid w:val="00FC6EC2"/>
    <w:rsid w:val="00FD275F"/>
    <w:rsid w:val="00FD5AD7"/>
    <w:rsid w:val="00FD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,"/>
  <w:listSeparator w:val=";"/>
  <w14:docId w14:val="3F28E243"/>
  <w15:docId w15:val="{F3DE12D8-41B2-4013-B089-ADB7243C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25398E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EA6B8A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kapit z listą BS,List Paragraph 1,List_Paragraph,Multilevel para_II,List Paragraph (numbered (a)),OBC Bullet,List Paragraph11,Normal numbered,Paragraphe de liste PBLH,Bullets,List Paragraph1,References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31">
    <w:name w:val="Body Text Indent 3"/>
    <w:basedOn w:val="a"/>
    <w:link w:val="32"/>
    <w:rsid w:val="008B6BCD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8B6BC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b">
    <w:name w:val="Normal (Web)"/>
    <w:basedOn w:val="a"/>
    <w:uiPriority w:val="99"/>
    <w:qFormat/>
    <w:rsid w:val="00C9343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uiPriority w:val="22"/>
    <w:qFormat/>
    <w:rsid w:val="00AF14F7"/>
    <w:rPr>
      <w:b/>
      <w:bCs/>
    </w:rPr>
  </w:style>
  <w:style w:type="character" w:styleId="ad">
    <w:name w:val="Emphasis"/>
    <w:uiPriority w:val="20"/>
    <w:qFormat/>
    <w:rsid w:val="00AF14F7"/>
    <w:rPr>
      <w:i/>
      <w:iCs/>
    </w:rPr>
  </w:style>
  <w:style w:type="character" w:styleId="ae">
    <w:name w:val="Hyperlink"/>
    <w:basedOn w:val="a0"/>
    <w:uiPriority w:val="99"/>
    <w:unhideWhenUsed/>
    <w:rsid w:val="00695904"/>
    <w:rPr>
      <w:color w:val="0563C1" w:themeColor="hyperlink"/>
      <w:u w:val="single"/>
    </w:rPr>
  </w:style>
  <w:style w:type="character" w:customStyle="1" w:styleId="arttop">
    <w:name w:val="art_top"/>
    <w:rsid w:val="002E35C9"/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6"/>
    <w:uiPriority w:val="34"/>
    <w:locked/>
    <w:rsid w:val="002E35C9"/>
    <w:rPr>
      <w:rFonts w:ascii="Calibri" w:eastAsia="Calibri" w:hAnsi="Calibri" w:cs="Times New Roman"/>
    </w:rPr>
  </w:style>
  <w:style w:type="paragraph" w:styleId="af">
    <w:name w:val="Body Text Indent"/>
    <w:aliases w:val=" Char, Char Char Char Char,Char Char Char Char, Char Char Char Char Char"/>
    <w:basedOn w:val="a"/>
    <w:link w:val="af0"/>
    <w:rsid w:val="001762D9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f0">
    <w:name w:val="Основной текст с отступом Знак"/>
    <w:aliases w:val=" Char Знак, Char Char Char Char Знак,Char Char Char Char Знак, Char Char Char Char Char Знак"/>
    <w:basedOn w:val="a0"/>
    <w:link w:val="af"/>
    <w:rsid w:val="001762D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jlqj4b">
    <w:name w:val="jlqj4b"/>
    <w:rsid w:val="007F2DEB"/>
  </w:style>
  <w:style w:type="paragraph" w:styleId="HTML">
    <w:name w:val="HTML Preformatted"/>
    <w:basedOn w:val="a"/>
    <w:link w:val="HTML0"/>
    <w:rsid w:val="000049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00494F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59"/>
    <w:rsid w:val="009B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1">
    <w:name w:val="Caption1"/>
    <w:basedOn w:val="a"/>
    <w:next w:val="a"/>
    <w:unhideWhenUsed/>
    <w:qFormat/>
    <w:locked/>
    <w:rsid w:val="009B3EEE"/>
    <w:pPr>
      <w:spacing w:before="0" w:after="200"/>
      <w:ind w:left="0" w:firstLine="0"/>
    </w:pPr>
    <w:rPr>
      <w:rFonts w:ascii="Times New Roman" w:eastAsia="Times New Roman" w:hAnsi="Times New Roman"/>
      <w:i/>
      <w:iCs/>
      <w:color w:val="44546A"/>
      <w:sz w:val="18"/>
      <w:szCs w:val="18"/>
      <w:lang w:val="ru-RU" w:eastAsia="ru-RU"/>
    </w:rPr>
  </w:style>
  <w:style w:type="character" w:customStyle="1" w:styleId="auto-style69">
    <w:name w:val="auto-style69"/>
    <w:basedOn w:val="a0"/>
    <w:rsid w:val="0064437A"/>
  </w:style>
  <w:style w:type="character" w:customStyle="1" w:styleId="ty-product-featuresuffix">
    <w:name w:val="ty-product-feature__suffix"/>
    <w:rsid w:val="0064437A"/>
  </w:style>
  <w:style w:type="paragraph" w:customStyle="1" w:styleId="Char">
    <w:name w:val="Char"/>
    <w:basedOn w:val="a"/>
    <w:semiHidden/>
    <w:rsid w:val="00340475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auto-style236">
    <w:name w:val="auto-style236"/>
    <w:basedOn w:val="a0"/>
    <w:rsid w:val="000B0C1D"/>
  </w:style>
  <w:style w:type="character" w:customStyle="1" w:styleId="auto-style238">
    <w:name w:val="auto-style238"/>
    <w:basedOn w:val="a0"/>
    <w:rsid w:val="000B0C1D"/>
  </w:style>
  <w:style w:type="character" w:customStyle="1" w:styleId="30">
    <w:name w:val="Заголовок 3 Знак"/>
    <w:basedOn w:val="a0"/>
    <w:link w:val="3"/>
    <w:uiPriority w:val="9"/>
    <w:rsid w:val="00EA6B8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ps-iconography-specs-title">
    <w:name w:val="ps-iconography-specs-title"/>
    <w:basedOn w:val="a0"/>
    <w:rsid w:val="00D5534E"/>
  </w:style>
  <w:style w:type="character" w:customStyle="1" w:styleId="ps-iconography-specs-label">
    <w:name w:val="ps-iconography-specs-label"/>
    <w:basedOn w:val="a0"/>
    <w:rsid w:val="00D5534E"/>
  </w:style>
  <w:style w:type="character" w:customStyle="1" w:styleId="apple-converted-space">
    <w:name w:val="apple-converted-space"/>
    <w:basedOn w:val="a0"/>
    <w:rsid w:val="00B368B2"/>
  </w:style>
  <w:style w:type="character" w:customStyle="1" w:styleId="20">
    <w:name w:val="Заголовок 2 Знак"/>
    <w:basedOn w:val="a0"/>
    <w:link w:val="2"/>
    <w:uiPriority w:val="9"/>
    <w:rsid w:val="0025398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citation-544">
    <w:name w:val="citation-544"/>
    <w:basedOn w:val="a0"/>
    <w:rsid w:val="006971F4"/>
  </w:style>
  <w:style w:type="character" w:customStyle="1" w:styleId="citation-541">
    <w:name w:val="citation-541"/>
    <w:basedOn w:val="a0"/>
    <w:rsid w:val="006971F4"/>
  </w:style>
  <w:style w:type="table" w:customStyle="1" w:styleId="TableNormal1">
    <w:name w:val="Table Normal1"/>
    <w:uiPriority w:val="2"/>
    <w:semiHidden/>
    <w:unhideWhenUsed/>
    <w:qFormat/>
    <w:rsid w:val="006971F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71F4"/>
    <w:pPr>
      <w:widowControl w:val="0"/>
      <w:autoSpaceDE w:val="0"/>
      <w:autoSpaceDN w:val="0"/>
      <w:spacing w:before="92" w:after="0"/>
      <w:ind w:left="108" w:firstLine="0"/>
    </w:pPr>
    <w:rPr>
      <w:rFonts w:ascii="Arial MT" w:eastAsia="Arial MT" w:hAnsi="Arial MT" w:cs="Arial MT"/>
    </w:rPr>
  </w:style>
  <w:style w:type="character" w:customStyle="1" w:styleId="k1s">
    <w:name w:val="k1s"/>
    <w:rsid w:val="00DF28DB"/>
  </w:style>
  <w:style w:type="paragraph" w:customStyle="1" w:styleId="msonormalmrcssattr">
    <w:name w:val="msonormal_mr_css_attr"/>
    <w:basedOn w:val="a"/>
    <w:rsid w:val="00AA493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6293B-3606-4402-8A20-9B346486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7</Pages>
  <Words>3240</Words>
  <Characters>18472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Marina Mkrtchyan</cp:lastModifiedBy>
  <cp:revision>235</cp:revision>
  <cp:lastPrinted>2026-07-06T16:48:00Z</cp:lastPrinted>
  <dcterms:created xsi:type="dcterms:W3CDTF">2022-03-19T10:32:00Z</dcterms:created>
  <dcterms:modified xsi:type="dcterms:W3CDTF">2026-07-10T15:35:00Z</dcterms:modified>
</cp:coreProperties>
</file>