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D409">
      <w:pPr>
        <w:spacing w:before="0" w:after="0"/>
        <w:ind w:left="0" w:firstLine="0"/>
        <w:rPr>
          <w:rFonts w:ascii="GHEA Grapalat" w:hAnsi="GHEA Grapalat" w:eastAsia="Times New Roman" w:cs="Sylfaen"/>
          <w:b/>
          <w:sz w:val="20"/>
          <w:szCs w:val="20"/>
          <w:lang w:val="hy-AM" w:eastAsia="ru-RU"/>
        </w:rPr>
      </w:pPr>
    </w:p>
    <w:p w14:paraId="3C5D21AE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ՀԱՅՏԱՐԱՐՈՒԹՅՈՒՆ</w:t>
      </w:r>
    </w:p>
    <w:p w14:paraId="5BE1E3D4">
      <w:pPr>
        <w:spacing w:before="0" w:line="360" w:lineRule="auto"/>
        <w:ind w:left="0" w:firstLine="0"/>
        <w:jc w:val="center"/>
        <w:rPr>
          <w:rFonts w:hint="default" w:ascii="GHEA Grapalat" w:hAnsi="GHEA Grapalat" w:eastAsia="Times New Roman" w:cs="Sylfaen"/>
          <w:b/>
          <w:sz w:val="20"/>
          <w:szCs w:val="20"/>
          <w:lang w:val="en-US" w:eastAsia="ru-RU"/>
        </w:rPr>
      </w:pPr>
      <w:r>
        <w:rPr>
          <w:rFonts w:ascii="GHEA Grapalat" w:hAnsi="GHEA Grapalat" w:eastAsia="Times New Roman" w:cs="Sylfaen"/>
          <w:b/>
          <w:sz w:val="20"/>
          <w:szCs w:val="20"/>
          <w:lang w:val="af-ZA" w:eastAsia="ru-RU"/>
        </w:rPr>
        <w:t>կնքված պայմանագրի մասի</w:t>
      </w:r>
      <w:r>
        <w:rPr>
          <w:rFonts w:ascii="GHEA Grapalat" w:hAnsi="GHEA Grapalat" w:eastAsia="Times New Roman" w:cs="Sylfaen"/>
          <w:b/>
          <w:sz w:val="20"/>
          <w:szCs w:val="20"/>
          <w:lang w:val="en-US" w:eastAsia="ru-RU"/>
        </w:rPr>
        <w:t>ն</w:t>
      </w:r>
    </w:p>
    <w:p w14:paraId="03EE3122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«ՀԱՅԱՍՏԱՆԻ ԲԱՍԿԵՏԲՈԼԻ ՖԵԴԵՐԱՑԻԱ» հասարակական կազմակերպությունը, որը գտնվում է ՀՀ, ք. Երևան, Սայաթ-Նովայի պող., 19 շենք, 13 սենյակ հասցեում, ստորև ներկայացնում է իր կարիքների համար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bookmarkStart w:id="0" w:name="_Hlk182817339"/>
      <w:r>
        <w:rPr>
          <w:rFonts w:ascii="GHEA Grapalat" w:hAnsi="GHEA Grapalat" w:cs="Times New Roman"/>
          <w:sz w:val="20"/>
          <w:szCs w:val="20"/>
          <w:lang w:val="hy-AM"/>
        </w:rPr>
        <w:t>Երևանում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 xml:space="preserve"> կայանալիք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>202</w:t>
      </w:r>
      <w:r>
        <w:rPr>
          <w:rFonts w:hint="default" w:ascii="GHEA Grapalat" w:hAnsi="GHEA Grapalat" w:cs="Times New Roman"/>
          <w:sz w:val="20"/>
          <w:szCs w:val="20"/>
          <w:lang w:val="en-US"/>
        </w:rPr>
        <w:t>9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>թ.</w:t>
      </w:r>
      <w:r>
        <w:rPr>
          <w:rFonts w:ascii="GHEA Grapalat" w:hAnsi="GHEA Grapalat" w:cs="Times New Roman"/>
          <w:sz w:val="20"/>
          <w:szCs w:val="20"/>
          <w:lang w:val="en-US"/>
        </w:rPr>
        <w:t>Եվրոբասկետի</w:t>
      </w:r>
      <w:r>
        <w:rPr>
          <w:rFonts w:hint="default" w:ascii="GHEA Grapalat" w:hAnsi="GHEA Grapalat" w:cs="Times New Roman"/>
          <w:sz w:val="20"/>
          <w:szCs w:val="20"/>
          <w:lang w:val="en-US"/>
        </w:rPr>
        <w:t xml:space="preserve"> նախընտրական փուլ</w:t>
      </w:r>
      <w:r>
        <w:rPr>
          <w:rFonts w:hint="default" w:ascii="GHEA Grapalat" w:hAnsi="GHEA Grapalat" w:cs="Times New Roman"/>
          <w:sz w:val="20"/>
          <w:szCs w:val="20"/>
          <w:lang w:val="ru-RU"/>
        </w:rPr>
        <w:t xml:space="preserve">ի </w:t>
      </w:r>
      <w:r>
        <w:rPr>
          <w:rFonts w:ascii="GHEA Grapalat" w:hAnsi="GHEA Grapalat" w:cs="Times New Roman"/>
          <w:sz w:val="20"/>
          <w:szCs w:val="20"/>
          <w:lang w:val="hy-AM"/>
        </w:rPr>
        <w:t>շրջանակն</w:t>
      </w:r>
      <w:r>
        <w:rPr>
          <w:rFonts w:ascii="GHEA Grapalat" w:hAnsi="GHEA Grapalat"/>
          <w:sz w:val="20"/>
          <w:szCs w:val="20"/>
          <w:lang w:val="hy-AM"/>
        </w:rPr>
        <w:t xml:space="preserve">երում </w:t>
      </w:r>
      <w:r>
        <w:rPr>
          <w:rFonts w:ascii="SimSun" w:hAnsi="SimSun" w:eastAsia="SimSun" w:cs="SimSun"/>
          <w:sz w:val="20"/>
          <w:szCs w:val="20"/>
          <w:lang w:val="en-US"/>
        </w:rPr>
        <w:t>անվտանգության ապահովման ծառայություններ</w:t>
      </w:r>
      <w:r>
        <w:rPr>
          <w:rFonts w:hint="default" w:ascii="GHEA Grapalat" w:hAnsi="GHEA Grapalat"/>
          <w:sz w:val="20"/>
          <w:lang w:val="ru-RU" w:eastAsia="en-US"/>
        </w:rPr>
        <w:t>ի</w:t>
      </w:r>
      <w:r>
        <w:rPr>
          <w:rFonts w:ascii="GHEA Grapalat" w:hAnsi="GHEA Grapalat"/>
          <w:sz w:val="20"/>
          <w:szCs w:val="20"/>
          <w:lang w:val="hy-AM"/>
        </w:rPr>
        <w:t xml:space="preserve"> </w:t>
      </w:r>
      <w:bookmarkEnd w:id="0"/>
      <w:r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>
        <w:t xml:space="preserve"> </w:t>
      </w:r>
      <w:r>
        <w:rPr>
          <w:rFonts w:hint="default" w:ascii="GHEA Grapalat" w:hAnsi="GHEA Grapalat"/>
          <w:b/>
          <w:bCs/>
          <w:sz w:val="20"/>
          <w:lang w:val="hy-AM" w:eastAsia="en-US"/>
        </w:rPr>
        <w:t>ՀԲՖ-ԳՀԾՁԲ-03/11</w:t>
      </w:r>
      <w:r>
        <w:rPr>
          <w:rFonts w:ascii="GHEA Grapalat" w:hAnsi="GHEA Grapalat"/>
          <w:sz w:val="20"/>
          <w:szCs w:val="20"/>
          <w:lang w:val="hy-AM"/>
        </w:rPr>
        <w:t xml:space="preserve"> ծածկագրով գնման ընթացակարգի արդյունքում կնքված պայմանագրի մասին տեղեկատվությունը`</w:t>
      </w:r>
    </w:p>
    <w:p w14:paraId="63DF9527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Style w:val="4"/>
        <w:tblW w:w="1122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00"/>
        <w:gridCol w:w="472"/>
        <w:gridCol w:w="1043"/>
        <w:gridCol w:w="118"/>
        <w:gridCol w:w="70"/>
        <w:gridCol w:w="716"/>
        <w:gridCol w:w="191"/>
        <w:gridCol w:w="636"/>
        <w:gridCol w:w="160"/>
        <w:gridCol w:w="48"/>
        <w:gridCol w:w="604"/>
        <w:gridCol w:w="8"/>
        <w:gridCol w:w="149"/>
        <w:gridCol w:w="716"/>
        <w:gridCol w:w="399"/>
        <w:gridCol w:w="14"/>
        <w:gridCol w:w="520"/>
        <w:gridCol w:w="204"/>
        <w:gridCol w:w="307"/>
        <w:gridCol w:w="34"/>
        <w:gridCol w:w="274"/>
        <w:gridCol w:w="459"/>
        <w:gridCol w:w="39"/>
        <w:gridCol w:w="846"/>
        <w:gridCol w:w="25"/>
        <w:gridCol w:w="393"/>
        <w:gridCol w:w="49"/>
        <w:gridCol w:w="1818"/>
      </w:tblGrid>
      <w:tr w14:paraId="3E117D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1369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12" w:type="dxa"/>
            <w:gridSpan w:val="27"/>
            <w:shd w:val="clear" w:color="auto" w:fill="auto"/>
            <w:vAlign w:val="center"/>
          </w:tcPr>
          <w:p w14:paraId="62E9CA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14:paraId="029595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15" w:type="dxa"/>
            <w:gridSpan w:val="2"/>
            <w:vMerge w:val="restart"/>
            <w:shd w:val="clear" w:color="auto" w:fill="auto"/>
            <w:vAlign w:val="center"/>
          </w:tcPr>
          <w:p w14:paraId="401426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601D52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60006D6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9" w:type="dxa"/>
            <w:gridSpan w:val="5"/>
            <w:shd w:val="clear" w:color="auto" w:fill="auto"/>
            <w:vAlign w:val="center"/>
          </w:tcPr>
          <w:p w14:paraId="0B7109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0A88C5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14:paraId="3C13B0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8" w:type="dxa"/>
            <w:vMerge w:val="restart"/>
            <w:shd w:val="clear" w:color="auto" w:fill="auto"/>
            <w:vAlign w:val="center"/>
          </w:tcPr>
          <w:p w14:paraId="5A762C7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14:paraId="1F1B6B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915" w:type="dxa"/>
            <w:gridSpan w:val="2"/>
            <w:vMerge w:val="continue"/>
            <w:shd w:val="clear" w:color="auto" w:fill="auto"/>
            <w:vAlign w:val="center"/>
          </w:tcPr>
          <w:p w14:paraId="3F930E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shd w:val="clear" w:color="auto" w:fill="auto"/>
            <w:vAlign w:val="center"/>
          </w:tcPr>
          <w:p w14:paraId="07A7020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2D04B4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restart"/>
            <w:shd w:val="clear" w:color="auto" w:fill="auto"/>
            <w:vAlign w:val="center"/>
          </w:tcPr>
          <w:p w14:paraId="288238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2" w:type="dxa"/>
            <w:gridSpan w:val="3"/>
            <w:vMerge w:val="restart"/>
            <w:shd w:val="clear" w:color="auto" w:fill="auto"/>
            <w:vAlign w:val="center"/>
          </w:tcPr>
          <w:p w14:paraId="26CE0C7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5" w:type="dxa"/>
            <w:gridSpan w:val="10"/>
            <w:shd w:val="clear" w:color="auto" w:fill="auto"/>
            <w:vAlign w:val="center"/>
          </w:tcPr>
          <w:p w14:paraId="49C06E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11" w:type="dxa"/>
            <w:gridSpan w:val="6"/>
            <w:vMerge w:val="continue"/>
            <w:shd w:val="clear" w:color="auto" w:fill="auto"/>
          </w:tcPr>
          <w:p w14:paraId="7657F1A1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shd w:val="clear" w:color="auto" w:fill="auto"/>
          </w:tcPr>
          <w:p w14:paraId="26DD9E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8386A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1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9E935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3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B8C31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6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20DA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7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86BC4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55F6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D2332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80237D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1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824FB90">
            <w:pPr>
              <w:widowControl w:val="0"/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</w:p>
        </w:tc>
        <w:tc>
          <w:tcPr>
            <w:tcW w:w="1818" w:type="dxa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7DD38F9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EAF84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915" w:type="dxa"/>
            <w:gridSpan w:val="2"/>
            <w:shd w:val="clear" w:color="auto" w:fill="auto"/>
            <w:vAlign w:val="center"/>
          </w:tcPr>
          <w:p w14:paraId="6750D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48F0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i w:val="0"/>
                <w:lang w:val="ru-RU"/>
              </w:rPr>
              <w:t>անվտանգության ապահովման ծառայություններ</w:t>
            </w:r>
          </w:p>
        </w:tc>
        <w:tc>
          <w:tcPr>
            <w:tcW w:w="71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4070A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2E183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F650C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2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29C1A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144000</w:t>
            </w:r>
          </w:p>
        </w:tc>
        <w:tc>
          <w:tcPr>
            <w:tcW w:w="1353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AEC8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144000</w:t>
            </w:r>
          </w:p>
        </w:tc>
        <w:tc>
          <w:tcPr>
            <w:tcW w:w="1811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2DB2329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2025 թվականի 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նոյեմբերի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 xml:space="preserve"> 30-ին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Երևանում կայանալիք 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hy-AM"/>
              </w:rPr>
              <w:t>2029թ.Եվրոբասկետի նախընտրական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hy-AM"/>
              </w:rPr>
              <w:t>փուլ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ru-RU"/>
              </w:rPr>
              <w:t>ի</w:t>
            </w:r>
            <w:r>
              <w:rPr>
                <w:rFonts w:ascii="GHEA Grapalat" w:hAnsi="GHEA Grapalat"/>
                <w:bCs/>
                <w:sz w:val="16"/>
                <w:szCs w:val="16"/>
                <w:highlight w:val="none"/>
                <w:lang w:val="hy-AM"/>
              </w:rPr>
              <w:t xml:space="preserve"> շրջանակներում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Սպորտի Կառավարման Կենտրոնում (ՀՀ, ք. Երևան Մանանդյան փող., 41 շենք) (այսուհետ մարզադաշտեր կամ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օբյեկտ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) Կատարողի կողմից յուրաքանչյուր մարզադաշտում պետք է իրականացվի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ժամյա (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17:00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-ից մինչև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22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:00-ը ընկած ժամանակահատվածում) պահնորդական ծառայություն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12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տասներկու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/ պահնորդի միջոցով ֆիզիկական պահպանություն: </w:t>
            </w:r>
          </w:p>
          <w:p w14:paraId="7BE087A6">
            <w:pPr>
              <w:jc w:val="both"/>
              <w:rPr>
                <w:rFonts w:ascii="GHEA Grapalat" w:hAnsi="GHEA Grapalat" w:cs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Պահնորդի պարտականությունները</w:t>
            </w:r>
          </w:p>
          <w:p w14:paraId="6FC0EE80">
            <w:pPr>
              <w:ind w:right="726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Պահնորդը պարտավոր է՝</w:t>
            </w:r>
          </w:p>
          <w:p w14:paraId="578AA6CD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Պահպանել սահմանված պահնորդական կանոնակարգը:</w:t>
            </w:r>
          </w:p>
          <w:p w14:paraId="7D2DDB83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Հետևել միջոցառման անվտանգության ստանդարտ գործընթացների  պահպանմանը:</w:t>
            </w:r>
          </w:p>
          <w:p w14:paraId="634B3702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Ապահովել Օբյեկտի, ինչպես նաև Պատվիրատուի կողմից իրեն հանձնված գույքի և ապրանքանյութական արժեքների պահպանությունը:</w:t>
            </w:r>
          </w:p>
          <w:p w14:paraId="578A42D5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Քաջատեղյակ լինել Օբյեկտի տարածքին և պահպանվող Օբյեկտի վերաբերյալ ստանալ ամբողջական տեղեկատվություն:</w:t>
            </w:r>
          </w:p>
          <w:p w14:paraId="6E32CFED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Արգելել կողմնակի անձանց մուտքն Օբյեկտ, ըստ ներքին կարգի կամ Պատվիրատուի հրահանգի:</w:t>
            </w:r>
          </w:p>
          <w:p w14:paraId="2E5F9C2D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Թույլ չտալ միջոցառման ընթացքում համապատասխան թույլտվություն չունեցող անձանց ներթափանցումն Օբյեկտի տարածք:</w:t>
            </w:r>
          </w:p>
          <w:p w14:paraId="24F7458A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Կանխել Օբյեկտի տարածքից իր պահպանությանը հանձնված գույքի և ապրանքանյութական արժեքների անօրինական դուրսբերումը:</w:t>
            </w:r>
          </w:p>
          <w:p w14:paraId="3D3374C8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շրջանակներում պահպանվող Օբյեկտի նկատմամբ ոտնձգություն կատարած անձին  վնասազերծել և հանձնել իրավապահ մարմիններին:</w:t>
            </w:r>
          </w:p>
          <w:p w14:paraId="7A13F897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Պատվիրատուին ամեն օր տեղեկացնել օրվա ընթացքում տեղի ունեցող բոլոր իրադարձությունների և խախտումների մասին:</w:t>
            </w:r>
          </w:p>
          <w:p w14:paraId="6B34B42F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ընթացքում անսովոր կամ կասկածելի վարքագիծ ունեցող անձանց նկատելու դեպքում, կիրառել համապատասխան միջոցներ և անհրաժեշտույան դեպքում դիմել իրավապահ մարմինների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5FF16EAD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անվտանգությանը սպառնացող ցանկացած վտանգի դեպքում համապատասխան միջոցներ  ձեռնարկել դրանց վերացման ուղղությամբ:</w:t>
            </w:r>
          </w:p>
          <w:p w14:paraId="2078FED8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Օժանդակել Պատվիրատուին արտակարգ իրավիճակների ժամանակ:</w:t>
            </w:r>
          </w:p>
          <w:p w14:paraId="224038EE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Ծառայության աշխատակիցները պետք է դրսևորեն բարեվարքություն, ունենան պատշաճ համազգեստ՝ ծառայության անվանումով, մաքուր և սափրված արտաքին տեսք, անվանաքարտ 3*4սմ գունավոր լուսանկարով և կազմակերպության անվանումով ու անուն ազգանունով:</w:t>
            </w:r>
          </w:p>
        </w:tc>
        <w:tc>
          <w:tcPr>
            <w:tcW w:w="1818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B4A7E5">
            <w:pPr>
              <w:jc w:val="both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2025 թվականի 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նոյեմբերի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 xml:space="preserve"> 30-ին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 Երևանում կայանալիք 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hy-AM"/>
              </w:rPr>
              <w:t>2029թ.Եվրոբասկետի նախընտրական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ru-RU"/>
              </w:rPr>
              <w:t xml:space="preserve"> 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hy-AM"/>
              </w:rPr>
              <w:t>փուլ</w:t>
            </w:r>
            <w:r>
              <w:rPr>
                <w:rFonts w:hint="default" w:ascii="GHEA Grapalat" w:hAnsi="GHEA Grapalat"/>
                <w:bCs/>
                <w:sz w:val="16"/>
                <w:szCs w:val="16"/>
                <w:highlight w:val="none"/>
                <w:lang w:val="ru-RU"/>
              </w:rPr>
              <w:t>ի</w:t>
            </w:r>
            <w:r>
              <w:rPr>
                <w:rFonts w:ascii="GHEA Grapalat" w:hAnsi="GHEA Grapalat"/>
                <w:bCs/>
                <w:sz w:val="16"/>
                <w:szCs w:val="16"/>
                <w:highlight w:val="none"/>
                <w:lang w:val="hy-AM"/>
              </w:rPr>
              <w:t xml:space="preserve"> շրջանակներում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Սպորտի Կառավարման Կենտրոնում (ՀՀ, ք. Երևան Մանանդյան փող., 41 շենք) (այսուհետ մարզադաշտեր կամ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օբյեկտ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) Կատարողի կողմից յուրաքանչյուր մարզադաշտում պետք է իրականացվի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ժամյա (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17:00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-ից մինչև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22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:00-ը ընկած ժամանակահատվածում) պահնորդական ծառայություն </w:t>
            </w:r>
            <w:r>
              <w:rPr>
                <w:rFonts w:hint="default" w:ascii="GHEA Grapalat" w:hAnsi="GHEA Grapalat" w:cs="GHEA Grapalat"/>
                <w:sz w:val="16"/>
                <w:szCs w:val="16"/>
                <w:lang w:val="ru-RU"/>
              </w:rPr>
              <w:t>12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/</w:t>
            </w:r>
            <w:r>
              <w:rPr>
                <w:rFonts w:ascii="GHEA Grapalat" w:hAnsi="GHEA Grapalat" w:cs="GHEA Grapalat"/>
                <w:sz w:val="16"/>
                <w:szCs w:val="16"/>
                <w:lang w:val="ru-RU"/>
              </w:rPr>
              <w:t>տասներկու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/ պահնորդի միջոցով ֆիզիկական պահպանություն: </w:t>
            </w:r>
          </w:p>
          <w:p w14:paraId="32106555">
            <w:pPr>
              <w:jc w:val="both"/>
              <w:rPr>
                <w:rFonts w:ascii="GHEA Grapalat" w:hAnsi="GHEA Grapalat" w:cs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Պահնորդի պարտականությունները</w:t>
            </w:r>
          </w:p>
          <w:p w14:paraId="786D521E">
            <w:pPr>
              <w:ind w:right="726"/>
              <w:jc w:val="both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Պահնորդը պարտավոր է՝</w:t>
            </w:r>
          </w:p>
          <w:p w14:paraId="52BBC52E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Պահպանել սահմանված պահնորդական կանոնակարգը:</w:t>
            </w:r>
          </w:p>
          <w:p w14:paraId="6FE56EBA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Հետևել միջոցառման անվտանգության ստանդարտ գործընթացների  պահպանմանը:</w:t>
            </w:r>
          </w:p>
          <w:p w14:paraId="45857961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Ապահովել Օբյեկտի, ինչպես նաև Պատվիրատուի կողմից իրեն հանձնված գույքի և ապրանքանյութական արժեքների պահպանությունը:</w:t>
            </w:r>
          </w:p>
          <w:p w14:paraId="345A6A7D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Քաջատեղյակ լինել Օբյեկտի տարածքին և պահպանվող Օբյեկտի վերաբերյալ ստանալ ամբողջական տեղեկատվություն:</w:t>
            </w:r>
          </w:p>
          <w:p w14:paraId="42D58B3F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Արգելել կողմնակի անձանց մուտքն Օբյեկտ, ըստ ներքին կարգի կամ Պատվիրատուի հրահանգի:</w:t>
            </w:r>
          </w:p>
          <w:p w14:paraId="425EF526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Թույլ չտալ միջոցառման ընթացքում համապատասխան թույլտվություն չունեցող անձանց ներթափանցումն Օբյեկտի տարածք:</w:t>
            </w:r>
          </w:p>
          <w:p w14:paraId="04724C3C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Կանխել Օբյեկտի տարածքից իր պահպանությանը հանձնված գույքի և ապրանքանյութական արժեքների անօրինական դուրսբերումը:</w:t>
            </w:r>
          </w:p>
          <w:p w14:paraId="0292CCE9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շրջանակներում պահպանվող Օբյեկտի նկատմամբ ոտնձգություն կատարած անձին  վնասազերծել և հանձնել իրավապահ մարմիններին:</w:t>
            </w:r>
          </w:p>
          <w:p w14:paraId="33A9A497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Պատվիրատուին ամեն օր տեղեկացնել օրվա ընթացքում տեղի ունեցող բոլոր իրադարձությունների և խախտումների մասին:</w:t>
            </w:r>
          </w:p>
          <w:p w14:paraId="60FE3000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ընթացքում անսովոր կամ կասկածելի վարքագիծ ունեցող անձանց նկատելու դեպքում, կիրառել համապատասխան միջոցներ և անհրաժեշտույան դեպքում դիմել իրավապահ մարմինների</w:t>
            </w:r>
            <w:r>
              <w:rPr>
                <w:rFonts w:ascii="GHEA Grapalat" w:hAnsi="GHEA Grapalat"/>
                <w:sz w:val="16"/>
                <w:szCs w:val="16"/>
                <w:lang w:eastAsia="zh-CN"/>
              </w:rPr>
              <w:t>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  <w:p w14:paraId="4EAE9933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Միջոցառման անվտանգությանը սպառնացող ցանկացած վտանգի դեպքում համապատասխան միջոցներ  ձեռնարկել դրանց վերացման ուղղությամբ:</w:t>
            </w:r>
          </w:p>
          <w:p w14:paraId="770B55F9">
            <w:pPr>
              <w:pStyle w:val="13"/>
              <w:numPr>
                <w:ilvl w:val="0"/>
                <w:numId w:val="1"/>
              </w:numPr>
              <w:ind w:left="346" w:hanging="270"/>
              <w:contextualSpacing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Օժանդակել Պատվիրատուին արտակարգ իրավիճակների ժամանակ:</w:t>
            </w:r>
          </w:p>
          <w:p w14:paraId="109CC926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Ծառայության աշխատակիցները պետք է դրսևորեն բարեվարքություն, ունենան պատշաճ համազգեստ՝ ծառայության անվանումով, մաքուր և սափրված արտաքին տեսք, անվանաքարտ 3*4սմ գունավոր լուսանկարով և կազմակերպության անվանումով ու անուն ազգանունով:</w:t>
            </w:r>
          </w:p>
        </w:tc>
      </w:tr>
      <w:tr w14:paraId="317F6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2E7AA1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5CC1CB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4369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FAF76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8" w:type="dxa"/>
            <w:gridSpan w:val="1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F87F92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Գնումների Գնումների մասին ՀՀ օրենքի 23-րդ հոդվածի 1-ին մասի 1-ին կետ, </w:t>
            </w:r>
          </w:p>
          <w:p w14:paraId="2F0B3A21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(ՀՀ կառավարության 4 մայիսի 2017 թվականի N 526-Ն որոշմամբ հաստատված գնումների գործընթացի կազմակերպման Կարգի 23-րդ կետի 4-րդ մասով սահմանված ցանկի 7-րդ տող)</w:t>
            </w:r>
          </w:p>
        </w:tc>
      </w:tr>
      <w:tr w14:paraId="6A86C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11BBB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6C3CE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983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0DA0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D2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20.11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5941778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D74D31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90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882D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0AD072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28F9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9C6E9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4CBB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5C2E01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0973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46A93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D5B9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30E7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ման</w:t>
            </w:r>
          </w:p>
        </w:tc>
      </w:tr>
      <w:tr w14:paraId="6682A1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E0A7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14F3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BD99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DA5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6E1754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6259" w:type="dxa"/>
            <w:gridSpan w:val="17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FE8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21D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CA3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1685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</w:tr>
      <w:tr w14:paraId="781E1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0145C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EA02C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7" w:type="dxa"/>
            <w:gridSpan w:val="3"/>
            <w:vMerge w:val="restart"/>
            <w:shd w:val="clear" w:color="auto" w:fill="auto"/>
            <w:vAlign w:val="center"/>
          </w:tcPr>
          <w:p w14:paraId="364D39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8" w:type="dxa"/>
            <w:gridSpan w:val="5"/>
            <w:vMerge w:val="restart"/>
            <w:shd w:val="clear" w:color="auto" w:fill="auto"/>
            <w:vAlign w:val="center"/>
          </w:tcPr>
          <w:p w14:paraId="4BADD6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2" w:type="dxa"/>
            <w:gridSpan w:val="21"/>
            <w:shd w:val="clear" w:color="auto" w:fill="auto"/>
            <w:vAlign w:val="center"/>
          </w:tcPr>
          <w:p w14:paraId="671C95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14:paraId="11A19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387" w:type="dxa"/>
            <w:gridSpan w:val="3"/>
            <w:vMerge w:val="continue"/>
            <w:shd w:val="clear" w:color="auto" w:fill="auto"/>
            <w:vAlign w:val="center"/>
          </w:tcPr>
          <w:p w14:paraId="71CBFB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8" w:type="dxa"/>
            <w:gridSpan w:val="5"/>
            <w:vMerge w:val="continue"/>
            <w:shd w:val="clear" w:color="auto" w:fill="auto"/>
            <w:vAlign w:val="center"/>
          </w:tcPr>
          <w:p w14:paraId="3976F5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3A2EA1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3BFAE7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239476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1F90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F49EC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40" w:type="dxa"/>
            <w:gridSpan w:val="26"/>
            <w:shd w:val="clear" w:color="auto" w:fill="auto"/>
            <w:vAlign w:val="center"/>
          </w:tcPr>
          <w:p w14:paraId="52158B5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14:paraId="44136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7" w:type="dxa"/>
            <w:gridSpan w:val="3"/>
            <w:shd w:val="clear" w:color="auto" w:fill="auto"/>
            <w:vAlign w:val="center"/>
          </w:tcPr>
          <w:p w14:paraId="7CEE77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8" w:type="dxa"/>
            <w:gridSpan w:val="5"/>
            <w:shd w:val="clear" w:color="auto" w:fill="auto"/>
            <w:vAlign w:val="center"/>
          </w:tcPr>
          <w:p w14:paraId="63681D8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Գարդիան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3254" w:type="dxa"/>
            <w:gridSpan w:val="10"/>
            <w:shd w:val="clear" w:color="auto" w:fill="auto"/>
            <w:vAlign w:val="center"/>
          </w:tcPr>
          <w:p w14:paraId="2C42E120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120000</w:t>
            </w:r>
          </w:p>
        </w:tc>
        <w:tc>
          <w:tcPr>
            <w:tcW w:w="2163" w:type="dxa"/>
            <w:gridSpan w:val="7"/>
            <w:shd w:val="clear" w:color="auto" w:fill="auto"/>
            <w:vAlign w:val="center"/>
          </w:tcPr>
          <w:p w14:paraId="1CC34AD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24000</w:t>
            </w:r>
          </w:p>
        </w:tc>
        <w:tc>
          <w:tcPr>
            <w:tcW w:w="2285" w:type="dxa"/>
            <w:gridSpan w:val="4"/>
            <w:shd w:val="clear" w:color="auto" w:fill="auto"/>
            <w:vAlign w:val="center"/>
          </w:tcPr>
          <w:p w14:paraId="0B1BC9A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144000</w:t>
            </w:r>
          </w:p>
        </w:tc>
      </w:tr>
      <w:tr w14:paraId="42EC91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3819700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F903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89B2DA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32E53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7.11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0DFBA4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restart"/>
            <w:shd w:val="clear" w:color="auto" w:fill="auto"/>
            <w:vAlign w:val="center"/>
          </w:tcPr>
          <w:p w14:paraId="0A1056F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47707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B71DB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C730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4981" w:type="dxa"/>
            <w:gridSpan w:val="13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9E6D8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01893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31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BBC4A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7FCFE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227" w:type="dxa"/>
            <w:gridSpan w:val="29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43CBE2FD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27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66987E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44175E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15CF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8.11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69E02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98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3B7C4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46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1B9998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8.11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.2025թ</w:t>
            </w:r>
          </w:p>
        </w:tc>
      </w:tr>
      <w:tr w14:paraId="30B4A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568468C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1589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15" w:type="dxa"/>
            <w:vMerge w:val="restart"/>
            <w:shd w:val="clear" w:color="auto" w:fill="auto"/>
            <w:vAlign w:val="center"/>
          </w:tcPr>
          <w:p w14:paraId="1EB407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15" w:type="dxa"/>
            <w:gridSpan w:val="3"/>
            <w:vMerge w:val="restart"/>
            <w:shd w:val="clear" w:color="auto" w:fill="auto"/>
            <w:vAlign w:val="center"/>
          </w:tcPr>
          <w:p w14:paraId="7BA331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97" w:type="dxa"/>
            <w:gridSpan w:val="25"/>
            <w:shd w:val="clear" w:color="auto" w:fill="auto"/>
            <w:vAlign w:val="center"/>
          </w:tcPr>
          <w:p w14:paraId="3EA740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14:paraId="02E819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2DFF85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shd w:val="clear" w:color="auto" w:fill="auto"/>
            <w:vAlign w:val="center"/>
          </w:tcPr>
          <w:p w14:paraId="3EB2A3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restart"/>
            <w:shd w:val="clear" w:color="auto" w:fill="auto"/>
            <w:vAlign w:val="center"/>
          </w:tcPr>
          <w:p w14:paraId="663076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5" w:type="dxa"/>
            <w:gridSpan w:val="5"/>
            <w:vMerge w:val="restart"/>
            <w:shd w:val="clear" w:color="auto" w:fill="auto"/>
            <w:vAlign w:val="center"/>
          </w:tcPr>
          <w:p w14:paraId="6C479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7" w:type="dxa"/>
            <w:gridSpan w:val="4"/>
            <w:vMerge w:val="restart"/>
            <w:shd w:val="clear" w:color="auto" w:fill="auto"/>
            <w:vAlign w:val="center"/>
          </w:tcPr>
          <w:p w14:paraId="10F8A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4" w:type="dxa"/>
            <w:gridSpan w:val="4"/>
            <w:vMerge w:val="restart"/>
            <w:shd w:val="clear" w:color="auto" w:fill="auto"/>
            <w:vAlign w:val="center"/>
          </w:tcPr>
          <w:p w14:paraId="2F6944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74808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14:paraId="6900C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815" w:type="dxa"/>
            <w:vMerge w:val="continue"/>
            <w:shd w:val="clear" w:color="auto" w:fill="auto"/>
            <w:vAlign w:val="center"/>
          </w:tcPr>
          <w:p w14:paraId="1D392B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shd w:val="clear" w:color="auto" w:fill="auto"/>
            <w:vAlign w:val="center"/>
          </w:tcPr>
          <w:p w14:paraId="355879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continue"/>
            <w:shd w:val="clear" w:color="auto" w:fill="auto"/>
            <w:vAlign w:val="center"/>
          </w:tcPr>
          <w:p w14:paraId="1E3FBA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shd w:val="clear" w:color="auto" w:fill="auto"/>
            <w:vAlign w:val="center"/>
          </w:tcPr>
          <w:p w14:paraId="0DEC7C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shd w:val="clear" w:color="auto" w:fill="auto"/>
            <w:vAlign w:val="center"/>
          </w:tcPr>
          <w:p w14:paraId="44607E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shd w:val="clear" w:color="auto" w:fill="auto"/>
            <w:vAlign w:val="center"/>
          </w:tcPr>
          <w:p w14:paraId="44F41EC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14:paraId="644C95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14:paraId="28CDE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15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228A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5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33A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1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FB455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5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A09F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7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16E3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4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2A62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3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17A0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0863C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14:paraId="5EB341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5" w:type="dxa"/>
            <w:shd w:val="clear" w:color="auto" w:fill="auto"/>
            <w:vAlign w:val="center"/>
          </w:tcPr>
          <w:p w14:paraId="7E6AE82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5" w:type="dxa"/>
            <w:gridSpan w:val="3"/>
            <w:shd w:val="clear" w:color="auto" w:fill="auto"/>
            <w:vAlign w:val="center"/>
          </w:tcPr>
          <w:p w14:paraId="6659352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Գարդիան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891" w:type="dxa"/>
            <w:gridSpan w:val="6"/>
            <w:shd w:val="clear" w:color="auto" w:fill="auto"/>
            <w:vAlign w:val="center"/>
          </w:tcPr>
          <w:p w14:paraId="0757EA5D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/>
                <w:b/>
                <w:bCs/>
                <w:sz w:val="20"/>
                <w:lang w:val="hy-AM" w:eastAsia="en-US"/>
              </w:rPr>
              <w:t>ՀԲՖ-ԳՀԾՁԲ-03/11</w:t>
            </w:r>
          </w:p>
        </w:tc>
        <w:tc>
          <w:tcPr>
            <w:tcW w:w="1525" w:type="dxa"/>
            <w:gridSpan w:val="5"/>
            <w:shd w:val="clear" w:color="auto" w:fill="auto"/>
            <w:vAlign w:val="center"/>
          </w:tcPr>
          <w:p w14:paraId="52C6AE2D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28.11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.2025թ</w:t>
            </w:r>
          </w:p>
        </w:tc>
        <w:tc>
          <w:tcPr>
            <w:tcW w:w="1137" w:type="dxa"/>
            <w:gridSpan w:val="4"/>
            <w:shd w:val="clear" w:color="auto" w:fill="auto"/>
            <w:vAlign w:val="center"/>
          </w:tcPr>
          <w:p w14:paraId="2B14DDA0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30.11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.2025 թ</w:t>
            </w:r>
          </w:p>
        </w:tc>
        <w:tc>
          <w:tcPr>
            <w:tcW w:w="1074" w:type="dxa"/>
            <w:gridSpan w:val="4"/>
            <w:shd w:val="clear" w:color="auto" w:fill="auto"/>
            <w:vAlign w:val="center"/>
          </w:tcPr>
          <w:p w14:paraId="5A86FE78">
            <w:pPr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  <w:t>0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ru-RU" w:eastAsia="ru-RU"/>
              </w:rPr>
              <w:t>%</w:t>
            </w:r>
          </w:p>
        </w:tc>
        <w:tc>
          <w:tcPr>
            <w:tcW w:w="1303" w:type="dxa"/>
            <w:gridSpan w:val="4"/>
            <w:shd w:val="clear" w:color="auto" w:fill="auto"/>
            <w:vAlign w:val="center"/>
          </w:tcPr>
          <w:p w14:paraId="07DD160B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144000</w:t>
            </w: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14:paraId="47A34C4F">
            <w:pPr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144000</w:t>
            </w:r>
          </w:p>
        </w:tc>
      </w:tr>
      <w:tr w14:paraId="3204CA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1DF3EE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6F400F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30D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D89DA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0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A20C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6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B7E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07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DD8898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Բ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անկային հաշիվը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72130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14:paraId="593AED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815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AF91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15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56CA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Գարդիան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270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386FEB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bookmarkStart w:id="1" w:name="_Hlk198910487"/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 xml:space="preserve">ՀՀ, </w:t>
            </w:r>
            <w:bookmarkEnd w:id="1"/>
            <w:r>
              <w:rPr>
                <w:rFonts w:ascii="GHEA Grapalat" w:hAnsi="GHEA Grapalat" w:eastAsia="Times New Roman"/>
                <w:b/>
                <w:sz w:val="14"/>
                <w:szCs w:val="14"/>
                <w:lang w:val="en-US" w:eastAsia="ru-RU"/>
              </w:rPr>
              <w:t>ք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.Երևան, Մարգարյան նրբ 7, տարածք 23</w:t>
            </w:r>
          </w:p>
        </w:tc>
        <w:tc>
          <w:tcPr>
            <w:tcW w:w="216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2A74B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  <w:t>gss@guardian.am</w:t>
            </w:r>
          </w:p>
        </w:tc>
        <w:tc>
          <w:tcPr>
            <w:tcW w:w="2070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08BC89">
            <w:pPr>
              <w:ind w:left="0" w:leftChars="0" w:firstLine="0" w:firstLineChars="0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bookmarkStart w:id="3" w:name="_GoBack"/>
            <w:bookmarkEnd w:id="3"/>
            <w:r>
              <w:rPr>
                <w:rFonts w:ascii="GHEA Grapalat" w:hAnsi="GHEA Grapalat"/>
                <w:sz w:val="15"/>
                <w:szCs w:val="15"/>
                <w:lang w:val="ru-RU"/>
              </w:rPr>
              <w:t>220300124710000</w:t>
            </w:r>
          </w:p>
        </w:tc>
        <w:tc>
          <w:tcPr>
            <w:tcW w:w="186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624D43">
            <w:pPr>
              <w:ind w:left="0" w:leftChars="0" w:firstLine="0" w:firstLineChars="0"/>
              <w:rPr>
                <w:rFonts w:hint="default" w:ascii="GHEA Grapalat" w:hAnsi="GHEA Grapalat" w:eastAsia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hAnsi="GHEA Grapalat"/>
                <w:bCs/>
                <w:sz w:val="15"/>
                <w:szCs w:val="15"/>
                <w:lang w:val="hy-AM"/>
              </w:rPr>
              <w:t>01273049</w:t>
            </w:r>
          </w:p>
        </w:tc>
      </w:tr>
      <w:tr w14:paraId="4345D3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4C7E26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10070BA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5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CFAAEB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9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DCD5E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</w:p>
        </w:tc>
      </w:tr>
      <w:tr w14:paraId="026839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795624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78BCE9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72CDBD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auto"/>
          </w:tcPr>
          <w:p w14:paraId="73706B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4 օրացուցային օրվա ընթացքում:</w:t>
            </w:r>
          </w:p>
          <w:p w14:paraId="3AC6061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59E493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30FC36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6B53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11293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A28A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9E23A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BCB56C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fldChar w:fldCharType="begin"/>
            </w:r>
            <w:r>
              <w:instrText xml:space="preserve"> HYPERLINK "https://e.mail.ru/compose?To=gnumnerbasketball@gmail.com" </w:instrText>
            </w:r>
            <w:r>
              <w:fldChar w:fldCharType="separate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gnumnerbasketball@gmail.com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։</w:t>
            </w:r>
          </w:p>
        </w:tc>
      </w:tr>
      <w:tr w14:paraId="0D3C64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59F47EE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</w:tcPr>
          <w:p w14:paraId="13B476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14:paraId="27AA54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60EDA6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  <w:p w14:paraId="181CE5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163B0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C6672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3415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շրջանակներում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հակաօրինական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գործողություններ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հայտնաբերվել</w:t>
            </w:r>
          </w:p>
        </w:tc>
      </w:tr>
      <w:tr w14:paraId="0CB53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1C424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2"/>
                <w:lang w:val="hy-AM" w:eastAsia="ru-RU"/>
              </w:rPr>
            </w:pPr>
          </w:p>
        </w:tc>
      </w:tr>
      <w:tr w14:paraId="2C068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0D553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8C1B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color w:val="000000" w:themeColor="text1"/>
                <w:sz w:val="12"/>
                <w:szCs w:val="12"/>
                <w:lang w:val="hy-AM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Գնման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գործընթացի</w:t>
            </w:r>
            <w:r>
              <w:rPr>
                <w:rFonts w:ascii="GHEA Grapalat" w:hAnsi="GHEA Grapalat" w:cs="Times Armenia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վերաբերյալ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բողոքներ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չեն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hy-AM"/>
                <w14:textFill>
                  <w14:solidFill>
                    <w14:schemeClr w14:val="tx1"/>
                  </w14:solidFill>
                </w14:textFill>
              </w:rPr>
              <w:t>ներկայացվել</w:t>
            </w:r>
            <w:r>
              <w:rPr>
                <w:rFonts w:ascii="GHEA Grapalat" w:hAnsi="GHEA Grapalat" w:cs="Sylfaen"/>
                <w:b/>
                <w:color w:val="000000" w:themeColor="text1"/>
                <w:sz w:val="12"/>
                <w:szCs w:val="12"/>
                <w:lang w:val="af-ZA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</w:tr>
      <w:tr w14:paraId="73B16A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124171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val="hy-AM" w:eastAsia="ru-RU"/>
              </w:rPr>
            </w:pPr>
          </w:p>
        </w:tc>
      </w:tr>
      <w:tr w14:paraId="621B4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548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4548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9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4FA51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14:paraId="0CE17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1227" w:type="dxa"/>
            <w:gridSpan w:val="29"/>
            <w:shd w:val="clear" w:color="auto" w:fill="99CCFF"/>
            <w:vAlign w:val="center"/>
          </w:tcPr>
          <w:p w14:paraId="4C3449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6F9B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1227" w:type="dxa"/>
            <w:gridSpan w:val="29"/>
            <w:shd w:val="clear" w:color="auto" w:fill="auto"/>
            <w:vAlign w:val="center"/>
          </w:tcPr>
          <w:p w14:paraId="4041CA4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218A8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3E8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90" w:type="dxa"/>
            <w:gridSpan w:val="1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0F363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3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A070E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14:paraId="7AEC19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4" w:type="dxa"/>
            <w:gridSpan w:val="7"/>
            <w:shd w:val="clear" w:color="auto" w:fill="auto"/>
            <w:vAlign w:val="center"/>
          </w:tcPr>
          <w:p w14:paraId="56F331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</w:pPr>
            <w:bookmarkStart w:id="2" w:name="_Hlk197961823"/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Ս.Պետրոսյան</w:t>
            </w:r>
          </w:p>
        </w:tc>
        <w:tc>
          <w:tcPr>
            <w:tcW w:w="3990" w:type="dxa"/>
            <w:gridSpan w:val="14"/>
            <w:shd w:val="clear" w:color="auto" w:fill="auto"/>
            <w:vAlign w:val="center"/>
          </w:tcPr>
          <w:p w14:paraId="4AC8230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  <w:t>+37499</w:t>
            </w:r>
            <w:r>
              <w:rPr>
                <w:rFonts w:hint="default" w:ascii="GHEA Grapalat" w:hAnsi="GHEA Grapalat" w:eastAsia="Times New Roman"/>
                <w:b/>
                <w:bCs/>
                <w:sz w:val="14"/>
                <w:szCs w:val="14"/>
                <w:lang w:val="en-US" w:eastAsia="ru-RU"/>
              </w:rPr>
              <w:t>355777</w:t>
            </w:r>
          </w:p>
        </w:tc>
        <w:tc>
          <w:tcPr>
            <w:tcW w:w="3903" w:type="dxa"/>
            <w:gridSpan w:val="8"/>
            <w:shd w:val="clear" w:color="auto" w:fill="auto"/>
            <w:vAlign w:val="center"/>
          </w:tcPr>
          <w:p w14:paraId="7AF3ED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Times New Roman"/>
                <w:b/>
                <w:bCs/>
                <w:sz w:val="14"/>
                <w:szCs w:val="14"/>
                <w:lang w:val="hy-AM" w:eastAsia="ru-RU"/>
              </w:rPr>
              <w:t>gnumnerbasketball@gmail.com</w:t>
            </w:r>
          </w:p>
        </w:tc>
      </w:tr>
      <w:bookmarkEnd w:id="2"/>
    </w:tbl>
    <w:p w14:paraId="3538EE7D">
      <w:pPr>
        <w:tabs>
          <w:tab w:val="left" w:pos="9829"/>
        </w:tabs>
        <w:ind w:left="0" w:firstLine="0"/>
        <w:rPr>
          <w:rFonts w:hint="default" w:ascii="GHEA Mariam" w:hAnsi="GHEA Mariam"/>
          <w:sz w:val="18"/>
          <w:szCs w:val="18"/>
          <w:lang w:val="en-US"/>
        </w:rPr>
      </w:pPr>
    </w:p>
    <w:sectPr>
      <w:pgSz w:w="11907" w:h="16840"/>
      <w:pgMar w:top="284" w:right="562" w:bottom="284" w:left="1138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 Armenian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GHEA Grapalat">
    <w:altName w:val="Yu Gothic UI"/>
    <w:panose1 w:val="02000506050000020003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GHEA Mariam">
    <w:altName w:val="Samsung SVD_Medium_JP"/>
    <w:panose1 w:val="02000503080000020003"/>
    <w:charset w:val="00"/>
    <w:family w:val="modern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Samsung SVD_Medium_JP">
    <w:panose1 w:val="02000503000000020003"/>
    <w:charset w:val="00"/>
    <w:family w:val="auto"/>
    <w:pitch w:val="default"/>
    <w:sig w:usb0="A1002AEF" w:usb1="D001F87A" w:usb2="00000008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66FB3"/>
    <w:multiLevelType w:val="multilevel"/>
    <w:tmpl w:val="07B66FB3"/>
    <w:lvl w:ilvl="0" w:tentative="0">
      <w:start w:val="1"/>
      <w:numFmt w:val="bullet"/>
      <w:lvlText w:val=""/>
      <w:lvlJc w:val="left"/>
      <w:pPr>
        <w:ind w:left="9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6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5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D46"/>
    <w:rsid w:val="00044EA8"/>
    <w:rsid w:val="00046CCF"/>
    <w:rsid w:val="00051ECE"/>
    <w:rsid w:val="0007090E"/>
    <w:rsid w:val="00073D66"/>
    <w:rsid w:val="000A788B"/>
    <w:rsid w:val="000B0199"/>
    <w:rsid w:val="000E4FF1"/>
    <w:rsid w:val="000F376D"/>
    <w:rsid w:val="001021B0"/>
    <w:rsid w:val="0011631C"/>
    <w:rsid w:val="0018422F"/>
    <w:rsid w:val="00187919"/>
    <w:rsid w:val="001A1999"/>
    <w:rsid w:val="001C1BE1"/>
    <w:rsid w:val="001D64C8"/>
    <w:rsid w:val="001E0091"/>
    <w:rsid w:val="001F7BC0"/>
    <w:rsid w:val="0022631D"/>
    <w:rsid w:val="00241271"/>
    <w:rsid w:val="00295B92"/>
    <w:rsid w:val="002E4E6F"/>
    <w:rsid w:val="002F16CC"/>
    <w:rsid w:val="002F1FEB"/>
    <w:rsid w:val="002F58A6"/>
    <w:rsid w:val="00371B1D"/>
    <w:rsid w:val="003B2758"/>
    <w:rsid w:val="003C7DA0"/>
    <w:rsid w:val="003E01F8"/>
    <w:rsid w:val="003E3D40"/>
    <w:rsid w:val="003E6978"/>
    <w:rsid w:val="00433E3C"/>
    <w:rsid w:val="00444A93"/>
    <w:rsid w:val="004570FD"/>
    <w:rsid w:val="00472069"/>
    <w:rsid w:val="00474C2F"/>
    <w:rsid w:val="004764CD"/>
    <w:rsid w:val="004854D8"/>
    <w:rsid w:val="004875E0"/>
    <w:rsid w:val="004B00D4"/>
    <w:rsid w:val="004B31FD"/>
    <w:rsid w:val="004D078F"/>
    <w:rsid w:val="004E376E"/>
    <w:rsid w:val="00503BCC"/>
    <w:rsid w:val="005338A5"/>
    <w:rsid w:val="00546023"/>
    <w:rsid w:val="0055413A"/>
    <w:rsid w:val="00554D80"/>
    <w:rsid w:val="00556B91"/>
    <w:rsid w:val="005737F9"/>
    <w:rsid w:val="00581FE0"/>
    <w:rsid w:val="005D5FBD"/>
    <w:rsid w:val="005F1034"/>
    <w:rsid w:val="00607C9A"/>
    <w:rsid w:val="00646760"/>
    <w:rsid w:val="006710C7"/>
    <w:rsid w:val="00690ECB"/>
    <w:rsid w:val="006A38B4"/>
    <w:rsid w:val="006B2E21"/>
    <w:rsid w:val="006B5CB9"/>
    <w:rsid w:val="006C0266"/>
    <w:rsid w:val="006E0D92"/>
    <w:rsid w:val="006E1A83"/>
    <w:rsid w:val="006F2779"/>
    <w:rsid w:val="00704F70"/>
    <w:rsid w:val="007060FC"/>
    <w:rsid w:val="00723791"/>
    <w:rsid w:val="00735550"/>
    <w:rsid w:val="00735908"/>
    <w:rsid w:val="007428E2"/>
    <w:rsid w:val="007732E7"/>
    <w:rsid w:val="0078682E"/>
    <w:rsid w:val="007A1C4D"/>
    <w:rsid w:val="00802944"/>
    <w:rsid w:val="00803294"/>
    <w:rsid w:val="0081420B"/>
    <w:rsid w:val="00891283"/>
    <w:rsid w:val="008C26A5"/>
    <w:rsid w:val="008C4E62"/>
    <w:rsid w:val="008E493A"/>
    <w:rsid w:val="0092506B"/>
    <w:rsid w:val="00932D93"/>
    <w:rsid w:val="009656F7"/>
    <w:rsid w:val="009951CF"/>
    <w:rsid w:val="00995245"/>
    <w:rsid w:val="009A1CAF"/>
    <w:rsid w:val="009B09FC"/>
    <w:rsid w:val="009C2C61"/>
    <w:rsid w:val="009C5E0F"/>
    <w:rsid w:val="009C7364"/>
    <w:rsid w:val="009E75FF"/>
    <w:rsid w:val="009F1397"/>
    <w:rsid w:val="00A0443E"/>
    <w:rsid w:val="00A2394B"/>
    <w:rsid w:val="00A306F5"/>
    <w:rsid w:val="00A31820"/>
    <w:rsid w:val="00A74E02"/>
    <w:rsid w:val="00A81E5A"/>
    <w:rsid w:val="00A8203D"/>
    <w:rsid w:val="00A84EC0"/>
    <w:rsid w:val="00AA32E4"/>
    <w:rsid w:val="00AD07B9"/>
    <w:rsid w:val="00AD59DC"/>
    <w:rsid w:val="00AE7686"/>
    <w:rsid w:val="00B07116"/>
    <w:rsid w:val="00B338E1"/>
    <w:rsid w:val="00B4279B"/>
    <w:rsid w:val="00B650C1"/>
    <w:rsid w:val="00B749B4"/>
    <w:rsid w:val="00B75762"/>
    <w:rsid w:val="00B91DE2"/>
    <w:rsid w:val="00B94EA2"/>
    <w:rsid w:val="00BA03B0"/>
    <w:rsid w:val="00BB0A93"/>
    <w:rsid w:val="00BB287A"/>
    <w:rsid w:val="00BB4BCD"/>
    <w:rsid w:val="00BD0ADC"/>
    <w:rsid w:val="00BD3D4E"/>
    <w:rsid w:val="00BF1465"/>
    <w:rsid w:val="00BF4745"/>
    <w:rsid w:val="00C6065E"/>
    <w:rsid w:val="00C65EAC"/>
    <w:rsid w:val="00C84DF7"/>
    <w:rsid w:val="00C96337"/>
    <w:rsid w:val="00C96BED"/>
    <w:rsid w:val="00CB44D2"/>
    <w:rsid w:val="00CC1F23"/>
    <w:rsid w:val="00CF1F70"/>
    <w:rsid w:val="00D17E06"/>
    <w:rsid w:val="00D323E0"/>
    <w:rsid w:val="00D350DE"/>
    <w:rsid w:val="00D36189"/>
    <w:rsid w:val="00D563A2"/>
    <w:rsid w:val="00D80C64"/>
    <w:rsid w:val="00DB071A"/>
    <w:rsid w:val="00DB13C5"/>
    <w:rsid w:val="00DE06F1"/>
    <w:rsid w:val="00DE19C4"/>
    <w:rsid w:val="00DF4F5B"/>
    <w:rsid w:val="00E129E2"/>
    <w:rsid w:val="00E243EA"/>
    <w:rsid w:val="00E33A25"/>
    <w:rsid w:val="00E4188B"/>
    <w:rsid w:val="00E41A5E"/>
    <w:rsid w:val="00E54C4D"/>
    <w:rsid w:val="00E5617C"/>
    <w:rsid w:val="00E56328"/>
    <w:rsid w:val="00E710C5"/>
    <w:rsid w:val="00E8103C"/>
    <w:rsid w:val="00E97950"/>
    <w:rsid w:val="00EA01A2"/>
    <w:rsid w:val="00EA568C"/>
    <w:rsid w:val="00EA767F"/>
    <w:rsid w:val="00EB59EE"/>
    <w:rsid w:val="00ED6681"/>
    <w:rsid w:val="00EF16D0"/>
    <w:rsid w:val="00F10AFE"/>
    <w:rsid w:val="00F260B2"/>
    <w:rsid w:val="00F30AC4"/>
    <w:rsid w:val="00F31004"/>
    <w:rsid w:val="00F54078"/>
    <w:rsid w:val="00F554EB"/>
    <w:rsid w:val="00F638D9"/>
    <w:rsid w:val="00F64167"/>
    <w:rsid w:val="00F6673B"/>
    <w:rsid w:val="00F77AAD"/>
    <w:rsid w:val="00F916C4"/>
    <w:rsid w:val="00FB097B"/>
    <w:rsid w:val="00FC6C03"/>
    <w:rsid w:val="00FD0CFF"/>
    <w:rsid w:val="00FE14D9"/>
    <w:rsid w:val="00FE7F77"/>
    <w:rsid w:val="00FF459C"/>
    <w:rsid w:val="02617124"/>
    <w:rsid w:val="0DAE298D"/>
    <w:rsid w:val="0EA0510E"/>
    <w:rsid w:val="0F4111B5"/>
    <w:rsid w:val="0F5215CE"/>
    <w:rsid w:val="0F8A3E81"/>
    <w:rsid w:val="1247170C"/>
    <w:rsid w:val="14BF26D4"/>
    <w:rsid w:val="1809187D"/>
    <w:rsid w:val="1A225770"/>
    <w:rsid w:val="201715B2"/>
    <w:rsid w:val="210064B8"/>
    <w:rsid w:val="24E01969"/>
    <w:rsid w:val="25084328"/>
    <w:rsid w:val="2704340F"/>
    <w:rsid w:val="274B574F"/>
    <w:rsid w:val="277D5657"/>
    <w:rsid w:val="280E3DFF"/>
    <w:rsid w:val="2B9E191F"/>
    <w:rsid w:val="30890898"/>
    <w:rsid w:val="30EB2193"/>
    <w:rsid w:val="33604A58"/>
    <w:rsid w:val="36956799"/>
    <w:rsid w:val="37E93BC8"/>
    <w:rsid w:val="3BA932EE"/>
    <w:rsid w:val="422A3DBB"/>
    <w:rsid w:val="51D46173"/>
    <w:rsid w:val="52925986"/>
    <w:rsid w:val="52B513BE"/>
    <w:rsid w:val="53391617"/>
    <w:rsid w:val="56522EAE"/>
    <w:rsid w:val="5A401E1F"/>
    <w:rsid w:val="5D0F1FBD"/>
    <w:rsid w:val="64323C4A"/>
    <w:rsid w:val="64D83F59"/>
    <w:rsid w:val="66BF03A5"/>
    <w:rsid w:val="69E25443"/>
    <w:rsid w:val="69F640E4"/>
    <w:rsid w:val="6BF11ED7"/>
    <w:rsid w:val="6C0B5D4D"/>
    <w:rsid w:val="6CB01D5E"/>
    <w:rsid w:val="6F291F50"/>
    <w:rsid w:val="705B2B64"/>
    <w:rsid w:val="7202642B"/>
    <w:rsid w:val="72440855"/>
    <w:rsid w:val="72FE5336"/>
    <w:rsid w:val="733E6120"/>
    <w:rsid w:val="75647FD9"/>
    <w:rsid w:val="784D7590"/>
    <w:rsid w:val="7AFE4A76"/>
    <w:rsid w:val="7D1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9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footnote text"/>
    <w:basedOn w:val="1"/>
    <w:link w:val="14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character" w:customStyle="1" w:styleId="9">
    <w:name w:val="Heading 1 Char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10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1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2">
    <w:name w:val="Balloon Text Char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Footnote Text Char"/>
    <w:basedOn w:val="3"/>
    <w:link w:val="8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5">
    <w:name w:val="js-phone-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FD4E3-D56B-4C57-A4B9-32BD56F5F1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872</Words>
  <Characters>4972</Characters>
  <Lines>41</Lines>
  <Paragraphs>11</Paragraphs>
  <TotalTime>0</TotalTime>
  <ScaleCrop>false</ScaleCrop>
  <LinksUpToDate>false</LinksUpToDate>
  <CharactersWithSpaces>5833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2021-06-28T12:08:00Z</dcterms:created>
  <dc:creator>Gor Vardanyan</dc:creator>
  <cp:keywords>https://mul2-minfin.gov.am/tasks/335569/oneclick/0c33142ec370ebb2c84c6dc51082936d064fc1952547b901c58d58baf6b2c4d7.docx?token=86a94a82e5ae5972ffcf6e3bfab8dab3</cp:keywords>
  <cp:lastModifiedBy>Silva Petrosyan</cp:lastModifiedBy>
  <cp:lastPrinted>2021-04-06T07:47:00Z</cp:lastPrinted>
  <dcterms:modified xsi:type="dcterms:W3CDTF">2025-12-03T13:10:32Z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37E2BB433B274EEBA4F880FDC92B4DDA_13</vt:lpwstr>
  </property>
</Properties>
</file>