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5B5AA6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5B5AA6">
        <w:rPr>
          <w:rFonts w:ascii="Sylfaen" w:eastAsia="Calibri" w:hAnsi="Sylfaen" w:cs="Times New Roman"/>
          <w:b/>
          <w:i/>
          <w:u w:val="single"/>
          <w:lang w:val="af-ZA"/>
        </w:rPr>
        <w:t>15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5B5AA6" w:rsidRPr="005B5AA6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ՀՀ Շիրակի մարզի  Անի համայնքի կարիքների համար Սարակապի 1-ին փողոցի երթևեկելի մասի ասֆալտբետոնե ծածկույթի փոսային նորոգման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աշխատանքների</w:t>
      </w:r>
      <w:r w:rsidRPr="00E4051D">
        <w:rPr>
          <w:rFonts w:ascii="Sylfaen" w:hAnsi="Sylfaen" w:cs="Arial"/>
          <w:i/>
          <w:sz w:val="20"/>
          <w:lang w:val="hy-AM"/>
        </w:rPr>
        <w:t xml:space="preserve">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 xml:space="preserve"> 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5B5AA6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5B5AA6">
        <w:rPr>
          <w:rFonts w:ascii="Sylfaen" w:eastAsia="Calibri" w:hAnsi="Sylfaen" w:cs="Times New Roman"/>
          <w:b/>
          <w:i/>
          <w:lang w:val="af-ZA"/>
        </w:rPr>
        <w:t>15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36862">
        <w:rPr>
          <w:rFonts w:ascii="Sylfaen" w:eastAsia="Times New Roman" w:hAnsi="Sylfaen" w:cs="Arial"/>
          <w:sz w:val="18"/>
          <w:szCs w:val="18"/>
          <w:lang w:val="hy-AM" w:eastAsia="ru-RU"/>
        </w:rPr>
        <w:t>հոկտեմբերի  18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5B5AA6" w:rsidRPr="005B5AA6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ՀՀ Շիրակի մարզի  Անի համայնքի կարիքների համար Սարակապի 1-ին փողոցի երթևեկելի մասի ասֆալտբետոնե ծածկույթի փոսային նորոգման </w:t>
      </w:r>
      <w:r w:rsidR="005B5AA6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5B5AA6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«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ԱՆԻԻ ՃՇՇ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»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900C35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5B5AA6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«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ԱՆԻԻ ՃՇՇ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»</w:t>
            </w:r>
            <w:r w:rsidRPr="00B56A8C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D33542" w:rsidRPr="00551E71" w:rsidRDefault="00AC68DF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2</w:t>
            </w:r>
            <w:r w:rsidR="00900C35"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 </w:t>
            </w: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381</w:t>
            </w:r>
            <w:r w:rsidR="00900C35"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107</w:t>
            </w:r>
          </w:p>
        </w:tc>
      </w:tr>
    </w:tbl>
    <w:p w:rsidR="00551E71" w:rsidRDefault="00551E71" w:rsidP="001D3B7D">
      <w:pPr>
        <w:spacing w:after="0"/>
        <w:rPr>
          <w:rFonts w:ascii="Sylfaen" w:eastAsia="Times New Roman" w:hAnsi="Sylfaen" w:cs="Arial"/>
          <w:sz w:val="18"/>
          <w:szCs w:val="18"/>
          <w:lang w:val="af-ZA" w:eastAsia="ru-RU"/>
        </w:rPr>
      </w:pP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Ընտրված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մասնակցին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որոշելու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կիրառված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չափանիշ՝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բավարար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գնահատված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հայտ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,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նվազագույն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>գնային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hy-AM" w:eastAsia="ru-RU"/>
        </w:rPr>
        <w:t xml:space="preserve">առաջարկ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։</w:t>
      </w:r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Սույն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հայտարարության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հետ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կապված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լրացուցիչ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տեղեկություններ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ստանալու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համար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կարող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եք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դիմել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ՇՄԱՀ-</w:t>
      </w:r>
      <w:r w:rsidR="005B5AA6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ԳՀԱՇ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ՁԲ–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>21/</w:t>
      </w:r>
      <w:r w:rsidR="005B5AA6">
        <w:rPr>
          <w:rFonts w:ascii="Sylfaen" w:eastAsia="Calibri" w:hAnsi="Sylfaen" w:cs="Times New Roman"/>
          <w:b/>
          <w:i/>
          <w:sz w:val="16"/>
          <w:szCs w:val="16"/>
          <w:u w:val="single"/>
          <w:lang w:val="af-ZA"/>
        </w:rPr>
        <w:t>15</w:t>
      </w:r>
      <w:r w:rsidR="00077C94" w:rsidRPr="00A03767">
        <w:rPr>
          <w:rFonts w:ascii="Sylfaen" w:eastAsia="Calibri" w:hAnsi="Sylfaen" w:cs="Times New Roman"/>
          <w:b/>
          <w:i/>
          <w:sz w:val="16"/>
          <w:szCs w:val="16"/>
          <w:u w:val="single"/>
          <w:lang w:val="hy-AM"/>
        </w:rPr>
        <w:t xml:space="preserve">   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ծածկագրով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գնահատող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հանձնաժողովի</w:t>
      </w:r>
      <w:r w:rsidRPr="00A0376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քարտուղար</w:t>
      </w:r>
      <w:r w:rsidRPr="00A0376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Կարեն</w:t>
      </w:r>
      <w:proofErr w:type="spellEnd"/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 xml:space="preserve"> </w:t>
      </w:r>
      <w:proofErr w:type="spellStart"/>
      <w:r w:rsidRPr="00A03767">
        <w:rPr>
          <w:rFonts w:ascii="Sylfaen" w:eastAsia="Times New Roman" w:hAnsi="Sylfaen" w:cs="Arial"/>
          <w:sz w:val="16"/>
          <w:szCs w:val="16"/>
          <w:lang w:val="en-US" w:eastAsia="ru-RU"/>
        </w:rPr>
        <w:t>Նալբանդյանին</w:t>
      </w:r>
      <w:proofErr w:type="spellEnd"/>
    </w:p>
    <w:p w:rsidR="001D3B7D" w:rsidRPr="00A03767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A03767">
        <w:rPr>
          <w:rFonts w:ascii="Sylfaen" w:eastAsia="Times New Roman" w:hAnsi="Sylfaen" w:cs="Arial"/>
          <w:sz w:val="16"/>
          <w:szCs w:val="16"/>
          <w:lang w:val="af-ZA" w:eastAsia="ru-RU"/>
        </w:rPr>
        <w:t>Հեռախոս՝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hy-AM" w:eastAsia="ru-RU"/>
        </w:rPr>
        <w:t xml:space="preserve"> </w:t>
      </w:r>
      <w:r w:rsidRPr="00A03767">
        <w:rPr>
          <w:rFonts w:ascii="Sylfaen" w:eastAsia="Times New Roman" w:hAnsi="Sylfaen" w:cs="Times New Roman"/>
          <w:sz w:val="16"/>
          <w:szCs w:val="16"/>
          <w:lang w:val="af-ZA" w:eastAsia="ru-RU"/>
        </w:rPr>
        <w:t>098480329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Էլեկտր</w:t>
      </w:r>
      <w:r w:rsidRPr="00E4051D">
        <w:rPr>
          <w:rFonts w:ascii="Sylfaen" w:eastAsia="Times New Roman" w:hAnsi="Sylfaen" w:cs="Arial"/>
          <w:sz w:val="18"/>
          <w:szCs w:val="18"/>
          <w:lang w:val="hy-AM" w:eastAsia="ru-RU"/>
        </w:rPr>
        <w:t>ո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նային</w:t>
      </w:r>
      <w:r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փոստ՝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nalbandyan1976@inbox.ru</w:t>
      </w:r>
    </w:p>
    <w:p w:rsidR="001D3B7D" w:rsidRPr="00E4051D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hy-AM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Պատվիրատու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>`Անի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hy-AM" w:eastAsia="ru-RU"/>
        </w:rPr>
        <w:t xml:space="preserve"> </w:t>
      </w:r>
      <w:r w:rsidRPr="00E4051D">
        <w:rPr>
          <w:rFonts w:ascii="Sylfaen" w:eastAsia="Times New Roman" w:hAnsi="Sylfaen" w:cs="Arial"/>
          <w:i/>
          <w:sz w:val="18"/>
          <w:szCs w:val="18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4210F2"/>
    <w:rsid w:val="00436862"/>
    <w:rsid w:val="00551E71"/>
    <w:rsid w:val="005B5AA6"/>
    <w:rsid w:val="00900C35"/>
    <w:rsid w:val="00905AC8"/>
    <w:rsid w:val="00A03767"/>
    <w:rsid w:val="00AC68DF"/>
    <w:rsid w:val="00D33542"/>
    <w:rsid w:val="00D939F5"/>
    <w:rsid w:val="00E4051D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626E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2021-07-25T15:02:00Z</dcterms:created>
  <dcterms:modified xsi:type="dcterms:W3CDTF">2021-10-19T06:24:00Z</dcterms:modified>
</cp:coreProperties>
</file>