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6226121D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942F9C" w:rsidRPr="004D585C">
        <w:rPr>
          <w:rFonts w:ascii="Sylfaen" w:hAnsi="Sylfaen"/>
          <w:sz w:val="18"/>
          <w:szCs w:val="18"/>
          <w:lang w:val="hy-AM"/>
        </w:rPr>
        <w:t>«</w:t>
      </w:r>
      <w:r w:rsidR="000F77DA" w:rsidRPr="004D585C">
        <w:rPr>
          <w:rFonts w:ascii="Sylfaen" w:hAnsi="Sylfaen"/>
          <w:sz w:val="18"/>
          <w:szCs w:val="18"/>
          <w:lang w:val="hy-AM"/>
        </w:rPr>
        <w:t>«</w:t>
      </w:r>
      <w:r w:rsidR="00AA6699" w:rsidRPr="00AA6699">
        <w:rPr>
          <w:rFonts w:ascii="Sylfaen" w:hAnsi="Sylfaen"/>
          <w:b/>
          <w:sz w:val="18"/>
          <w:szCs w:val="18"/>
          <w:lang w:val="hy-AM"/>
        </w:rPr>
        <w:t>ՀՀ ԳԵՂԱՐՔՈՒՆԻՔԻ ՄԱՐԶԻ</w:t>
      </w:r>
      <w:r w:rsidR="00AA6699" w:rsidRPr="004D585C">
        <w:rPr>
          <w:rFonts w:ascii="Sylfaen" w:hAnsi="Sylfaen"/>
          <w:sz w:val="18"/>
          <w:szCs w:val="18"/>
          <w:lang w:val="hy-AM"/>
        </w:rPr>
        <w:t xml:space="preserve"> </w:t>
      </w:r>
      <w:r w:rsidR="00AA6699" w:rsidRPr="00AA6699">
        <w:rPr>
          <w:rFonts w:ascii="Sylfaen" w:hAnsi="Sylfaen"/>
          <w:b/>
          <w:sz w:val="18"/>
          <w:szCs w:val="18"/>
        </w:rPr>
        <w:t>ՄԱՐՏՈՒ</w:t>
      </w:r>
      <w:r w:rsidR="00AA6699" w:rsidRPr="00AA6699">
        <w:rPr>
          <w:rFonts w:ascii="Sylfaen" w:hAnsi="Sylfaen"/>
          <w:b/>
          <w:sz w:val="18"/>
          <w:szCs w:val="18"/>
          <w:lang w:val="hy-AM"/>
        </w:rPr>
        <w:t>ՆՈՒ</w:t>
      </w:r>
      <w:r w:rsidR="00AA6699" w:rsidRPr="00AA669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A6699" w:rsidRPr="00AA6699">
        <w:rPr>
          <w:rFonts w:ascii="Sylfaen" w:hAnsi="Sylfaen"/>
          <w:b/>
          <w:sz w:val="18"/>
          <w:szCs w:val="18"/>
        </w:rPr>
        <w:t>ՀԱՄԱՅՆՔԱՊԵՏԱՐԱԻ</w:t>
      </w:r>
      <w:r w:rsidR="00AA6699" w:rsidRPr="00AA669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A6699" w:rsidRPr="00AA6699">
        <w:rPr>
          <w:rFonts w:ascii="Sylfaen" w:hAnsi="Sylfaen"/>
          <w:b/>
          <w:sz w:val="18"/>
          <w:szCs w:val="18"/>
        </w:rPr>
        <w:t>ԿԱՐԻՔՆԵՐԻ</w:t>
      </w:r>
      <w:r w:rsidR="00AA6699" w:rsidRPr="00AA669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AA6699" w:rsidRPr="00AA6699">
        <w:rPr>
          <w:rFonts w:ascii="Sylfaen" w:hAnsi="Sylfaen"/>
          <w:b/>
          <w:sz w:val="18"/>
          <w:szCs w:val="18"/>
        </w:rPr>
        <w:t>ՀԱՄԱՐ</w:t>
      </w:r>
      <w:r w:rsidR="00AA6699" w:rsidRPr="00AA6699">
        <w:rPr>
          <w:rFonts w:ascii="Sylfaen" w:hAnsi="Sylfaen"/>
          <w:b/>
          <w:sz w:val="18"/>
          <w:szCs w:val="18"/>
          <w:lang w:val="af-ZA"/>
        </w:rPr>
        <w:t>` «</w:t>
      </w:r>
      <w:r w:rsidR="00AA6699" w:rsidRPr="00AA6699">
        <w:rPr>
          <w:rFonts w:ascii="Sylfaen" w:hAnsi="Sylfaen"/>
          <w:b/>
          <w:sz w:val="18"/>
          <w:szCs w:val="18"/>
        </w:rPr>
        <w:t>ԴՐՈՆԻ</w:t>
      </w:r>
      <w:r w:rsidR="00AA6699" w:rsidRPr="00AA6699">
        <w:rPr>
          <w:rFonts w:ascii="Sylfaen" w:hAnsi="Sylfaen"/>
          <w:b/>
          <w:sz w:val="18"/>
          <w:szCs w:val="18"/>
          <w:lang w:val="af-ZA"/>
        </w:rPr>
        <w:t xml:space="preserve">» </w:t>
      </w:r>
      <w:r w:rsidR="00AA6699" w:rsidRPr="00AA6699">
        <w:rPr>
          <w:rFonts w:ascii="Sylfaen" w:hAnsi="Sylfaen"/>
          <w:b/>
          <w:sz w:val="18"/>
          <w:szCs w:val="18"/>
        </w:rPr>
        <w:t>ՁԵՌՔԲԵՐ</w:t>
      </w:r>
      <w:r w:rsidR="00AA6699" w:rsidRPr="00AA6699">
        <w:rPr>
          <w:rFonts w:ascii="Sylfaen" w:hAnsi="Sylfaen"/>
          <w:b/>
          <w:sz w:val="18"/>
          <w:szCs w:val="18"/>
          <w:lang w:val="hy-AM"/>
        </w:rPr>
        <w:t>ՈՒՄ</w:t>
      </w:r>
      <w:r w:rsidR="00AA6699" w:rsidRPr="00AA6699">
        <w:rPr>
          <w:rFonts w:ascii="Sylfaen" w:hAnsi="Sylfaen"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AA6699" w:rsidRPr="00AA6699">
        <w:rPr>
          <w:rFonts w:ascii="GHEA Grapalat" w:eastAsia="Times New Roman" w:hAnsi="GHEA Grapalat"/>
          <w:b/>
          <w:sz w:val="18"/>
          <w:szCs w:val="18"/>
          <w:lang w:val="hy-AM" w:eastAsia="ru-RU"/>
        </w:rPr>
        <w:t>ԳՄՄՀ-ԳՀԱՊՁԲ-23/05</w:t>
      </w:r>
      <w:r w:rsidR="00AA6699" w:rsidRPr="00AA6699">
        <w:rPr>
          <w:rFonts w:ascii="GHEA Grapalat" w:eastAsia="Times New Roman" w:hAnsi="GHEA Grapalat"/>
          <w:b/>
          <w:sz w:val="18"/>
          <w:szCs w:val="18"/>
          <w:lang w:val="pt-BR" w:eastAsia="ru-RU"/>
        </w:rPr>
        <w:t xml:space="preserve"> </w:t>
      </w:r>
      <w:bookmarkStart w:id="0" w:name="_GoBack"/>
      <w:bookmarkEnd w:id="0"/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785"/>
        <w:gridCol w:w="576"/>
        <w:gridCol w:w="14"/>
        <w:gridCol w:w="723"/>
        <w:gridCol w:w="614"/>
        <w:gridCol w:w="250"/>
        <w:gridCol w:w="1225"/>
        <w:gridCol w:w="1418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6E4E84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6E4E84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2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E4E84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8671E4" w14:paraId="6CB0AC86" w14:textId="77777777" w:rsidTr="00043E0A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6B80D4EC" w:rsidR="008D1C0E" w:rsidRPr="0095634A" w:rsidRDefault="0095634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5634A">
              <w:rPr>
                <w:rFonts w:ascii="GHEA Grapalat" w:eastAsia="Times New Roman" w:hAnsi="GHEA Grapalat"/>
                <w:b/>
                <w:sz w:val="16"/>
                <w:szCs w:val="16"/>
              </w:rPr>
              <w:t>ՄԱՐՏՈՒ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ՆՈՒ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AA6699">
              <w:rPr>
                <w:rFonts w:ascii="GHEA Grapalat" w:eastAsia="Times New Roman" w:hAnsi="GHEA Grapalat"/>
                <w:b/>
                <w:sz w:val="16"/>
                <w:szCs w:val="16"/>
              </w:rPr>
              <w:t>ՀԱՄԱՅՆՔԱՊԵՏԱՐԱ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</w:rPr>
              <w:t>Ի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</w:rPr>
              <w:t>ԿԱՐԻՔՆԵՐԻ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</w:rPr>
              <w:t>ՀԱՄԱՐ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>` «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</w:rPr>
              <w:t>ԴՐՈՆԻ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  <w:lang w:val="af-ZA"/>
              </w:rPr>
              <w:t xml:space="preserve">» </w:t>
            </w:r>
            <w:r w:rsidRPr="0095634A">
              <w:rPr>
                <w:rFonts w:ascii="GHEA Grapalat" w:eastAsia="Times New Roman" w:hAnsi="GHEA Grapalat"/>
                <w:b/>
                <w:sz w:val="16"/>
                <w:szCs w:val="16"/>
              </w:rPr>
              <w:t>ՁԵՌՔԲԵՐ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ՈՒՄ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942F9C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BF5906F" w:rsidR="008D1C0E" w:rsidRPr="00460B82" w:rsidRDefault="00460B82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1 500 000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313B415" w:rsidR="008D1C0E" w:rsidRPr="00460B82" w:rsidRDefault="00460B82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1 500 000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5F628" w14:textId="77777777" w:rsidR="008671E4" w:rsidRPr="008671E4" w:rsidRDefault="000F77DA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0F77DA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«</w:t>
            </w:r>
            <w:r w:rsidR="008671E4"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Անօդաչու թռչող սարք՝ բաղկացած ՝</w:t>
            </w:r>
          </w:p>
          <w:p w14:paraId="759149EC" w14:textId="77777777" w:rsidR="008671E4" w:rsidRPr="008671E4" w:rsidRDefault="008671E4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Առնվազը </w:t>
            </w:r>
          </w:p>
          <w:p w14:paraId="61CDEA6E" w14:textId="77777777" w:rsidR="008671E4" w:rsidRPr="008671E4" w:rsidRDefault="008671E4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Ցերեկային Տեսախցիկից առնվազը 28x թվային մոտեցմամբ,3 առանցքի կայունացուցիչի հետ միասին,</w:t>
            </w:r>
          </w:p>
          <w:p w14:paraId="33A75601" w14:textId="77777777" w:rsidR="008671E4" w:rsidRPr="008671E4" w:rsidRDefault="008671E4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հեռակառավարման վահանակից` ներկառուցված էկրանից։</w:t>
            </w:r>
          </w:p>
          <w:p w14:paraId="359B2840" w14:textId="77777777" w:rsidR="008671E4" w:rsidRPr="008671E4" w:rsidRDefault="008671E4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4 շարժիչից ,</w:t>
            </w:r>
          </w:p>
          <w:p w14:paraId="1013593A" w14:textId="17F93FEC" w:rsidR="008D1C0E" w:rsidRPr="008671E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86CA4" w14:textId="77777777" w:rsidR="008671E4" w:rsidRPr="008671E4" w:rsidRDefault="008671E4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Անօդաչու թռչող սարք՝ բաղկացած ՝</w:t>
            </w:r>
          </w:p>
          <w:p w14:paraId="60BCB541" w14:textId="77777777" w:rsidR="008671E4" w:rsidRPr="008671E4" w:rsidRDefault="008671E4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Առնվազը </w:t>
            </w:r>
          </w:p>
          <w:p w14:paraId="42826B1C" w14:textId="77777777" w:rsidR="008671E4" w:rsidRPr="008671E4" w:rsidRDefault="008671E4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 xml:space="preserve"> Ցերեկային Տեսախցիկից առնվազը 28x թվային մոտեցմամբ,3 առանցքի կայունացուցիչի հետ միասին,</w:t>
            </w:r>
          </w:p>
          <w:p w14:paraId="2053EB9D" w14:textId="77777777" w:rsidR="008671E4" w:rsidRPr="008671E4" w:rsidRDefault="008671E4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հեռակառավարման վահանակից` ներկառուցված էկրանից։</w:t>
            </w:r>
          </w:p>
          <w:p w14:paraId="4E82A2BA" w14:textId="77777777" w:rsidR="008671E4" w:rsidRPr="008671E4" w:rsidRDefault="008671E4" w:rsidP="008671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  <w:r w:rsidRPr="008671E4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  <w:t>4 շարժիչից ,</w:t>
            </w:r>
          </w:p>
          <w:p w14:paraId="5152B32D" w14:textId="2AE9C071" w:rsidR="008D1C0E" w:rsidRPr="008671E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8671E4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460B82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460B82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3C56CEA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8671E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11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8671E4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10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1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44"/>
        <w:gridCol w:w="1729"/>
        <w:gridCol w:w="1693"/>
        <w:gridCol w:w="2385"/>
        <w:gridCol w:w="1763"/>
        <w:gridCol w:w="2385"/>
      </w:tblGrid>
      <w:tr w:rsidR="005908E8" w:rsidRPr="005908E8" w14:paraId="68050FA9" w14:textId="77777777" w:rsidTr="005908E8">
        <w:trPr>
          <w:trHeight w:val="413"/>
        </w:trPr>
        <w:tc>
          <w:tcPr>
            <w:tcW w:w="1080" w:type="dxa"/>
          </w:tcPr>
          <w:p w14:paraId="27E884AF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en-US"/>
              </w:rPr>
              <w:t>N</w:t>
            </w:r>
          </w:p>
        </w:tc>
        <w:tc>
          <w:tcPr>
            <w:tcW w:w="1501" w:type="dxa"/>
          </w:tcPr>
          <w:p w14:paraId="1E36F163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t>Կազմակերպության անվանումը</w:t>
            </w:r>
          </w:p>
        </w:tc>
        <w:tc>
          <w:tcPr>
            <w:tcW w:w="1469" w:type="dxa"/>
          </w:tcPr>
          <w:p w14:paraId="3CD72534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t>Նախահաշվային արժեքը</w:t>
            </w:r>
          </w:p>
          <w:p w14:paraId="24BB053F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35C5150F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t>Ինքնարժեք և շահույթ</w:t>
            </w:r>
          </w:p>
          <w:p w14:paraId="64C5ABC0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0E5AD3A6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t>ԱԱՀ</w:t>
            </w:r>
          </w:p>
          <w:p w14:paraId="4D763430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4ABCE7B5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t>Ընդհանուր գինը</w:t>
            </w:r>
          </w:p>
          <w:p w14:paraId="4C11F587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t>/թվերով և տառերով/</w:t>
            </w:r>
          </w:p>
        </w:tc>
      </w:tr>
      <w:tr w:rsidR="005908E8" w:rsidRPr="008A2CA6" w14:paraId="4106A654" w14:textId="77777777" w:rsidTr="005908E8">
        <w:tc>
          <w:tcPr>
            <w:tcW w:w="1080" w:type="dxa"/>
          </w:tcPr>
          <w:p w14:paraId="2536BB82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Չափաբաժին 1</w:t>
            </w:r>
          </w:p>
        </w:tc>
        <w:tc>
          <w:tcPr>
            <w:tcW w:w="1501" w:type="dxa"/>
          </w:tcPr>
          <w:p w14:paraId="3FC44065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9" w:type="dxa"/>
          </w:tcPr>
          <w:p w14:paraId="66E7382F" w14:textId="77777777" w:rsidR="005908E8" w:rsidRPr="008A2CA6" w:rsidRDefault="005908E8" w:rsidP="00AF179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8A2CA6">
              <w:rPr>
                <w:rFonts w:ascii="Courier New" w:hAnsi="Courier New" w:cs="Courier New"/>
                <w:b/>
                <w:sz w:val="18"/>
                <w:szCs w:val="18"/>
                <w:lang w:val="hy-AM"/>
              </w:rPr>
              <w:t> </w:t>
            </w:r>
            <w:r w:rsidRPr="008A2CA6">
              <w:rPr>
                <w:rFonts w:ascii="GHEA Grapalat" w:hAnsi="GHEA Grapalat"/>
                <w:b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2070" w:type="dxa"/>
          </w:tcPr>
          <w:p w14:paraId="4F634694" w14:textId="77777777" w:rsidR="005908E8" w:rsidRPr="008A2CA6" w:rsidRDefault="005908E8" w:rsidP="00AF179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E977DFF" w14:textId="77777777" w:rsidR="005908E8" w:rsidRPr="008A2CA6" w:rsidRDefault="005908E8" w:rsidP="00AF179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4C97E80" w14:textId="77777777" w:rsidR="005908E8" w:rsidRPr="008A2CA6" w:rsidRDefault="005908E8" w:rsidP="00AF179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</w:rPr>
            </w:pPr>
          </w:p>
        </w:tc>
      </w:tr>
      <w:tr w:rsidR="005908E8" w:rsidRPr="008A2CA6" w14:paraId="50F93E9B" w14:textId="77777777" w:rsidTr="005908E8">
        <w:tc>
          <w:tcPr>
            <w:tcW w:w="1080" w:type="dxa"/>
          </w:tcPr>
          <w:p w14:paraId="3727B657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</w:rPr>
            </w:pPr>
            <w:r w:rsidRPr="008A2C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01" w:type="dxa"/>
          </w:tcPr>
          <w:p w14:paraId="098AE892" w14:textId="77777777" w:rsidR="005908E8" w:rsidRPr="008A2CA6" w:rsidRDefault="005908E8" w:rsidP="00AF1793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A2CA6">
              <w:rPr>
                <w:rFonts w:ascii="GHEA Grapalat" w:hAnsi="GHEA Grapalat"/>
                <w:sz w:val="18"/>
                <w:szCs w:val="18"/>
              </w:rPr>
              <w:t>Կարեն Ղազարյան ԱՁ</w:t>
            </w:r>
          </w:p>
        </w:tc>
        <w:tc>
          <w:tcPr>
            <w:tcW w:w="1469" w:type="dxa"/>
          </w:tcPr>
          <w:p w14:paraId="3108EF06" w14:textId="77777777" w:rsidR="005908E8" w:rsidRPr="008A2CA6" w:rsidRDefault="005908E8" w:rsidP="00AF179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</w:tcPr>
          <w:p w14:paraId="3EC685AF" w14:textId="77777777" w:rsidR="005908E8" w:rsidRPr="008A2CA6" w:rsidRDefault="005908E8" w:rsidP="00AF179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1</w:t>
            </w:r>
            <w:r w:rsidRPr="008A2CA6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448 000</w:t>
            </w:r>
          </w:p>
        </w:tc>
        <w:tc>
          <w:tcPr>
            <w:tcW w:w="1530" w:type="dxa"/>
          </w:tcPr>
          <w:p w14:paraId="61034F82" w14:textId="77777777" w:rsidR="005908E8" w:rsidRPr="008A2CA6" w:rsidRDefault="005908E8" w:rsidP="00AF179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070" w:type="dxa"/>
          </w:tcPr>
          <w:p w14:paraId="570E0C43" w14:textId="77777777" w:rsidR="005908E8" w:rsidRPr="008A2CA6" w:rsidRDefault="005908E8" w:rsidP="00AF179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1</w:t>
            </w:r>
            <w:r w:rsidRPr="008A2CA6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448 000</w:t>
            </w:r>
          </w:p>
        </w:tc>
      </w:tr>
      <w:tr w:rsidR="005908E8" w:rsidRPr="008A2CA6" w14:paraId="12744794" w14:textId="77777777" w:rsidTr="005908E8">
        <w:tc>
          <w:tcPr>
            <w:tcW w:w="1080" w:type="dxa"/>
          </w:tcPr>
          <w:p w14:paraId="04E3991A" w14:textId="77777777" w:rsidR="005908E8" w:rsidRPr="008A2CA6" w:rsidRDefault="005908E8" w:rsidP="00AF179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01" w:type="dxa"/>
          </w:tcPr>
          <w:p w14:paraId="2A75374A" w14:textId="77777777" w:rsidR="005908E8" w:rsidRPr="008A2CA6" w:rsidRDefault="005908E8" w:rsidP="00AF1793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8A2CA6">
              <w:rPr>
                <w:rFonts w:ascii="GHEA Grapalat" w:hAnsi="GHEA Grapalat"/>
                <w:sz w:val="18"/>
                <w:szCs w:val="18"/>
              </w:rPr>
              <w:t>Համազասպ Հովսեփյան Աշոտի ԱՁ</w:t>
            </w:r>
          </w:p>
        </w:tc>
        <w:tc>
          <w:tcPr>
            <w:tcW w:w="1469" w:type="dxa"/>
          </w:tcPr>
          <w:p w14:paraId="6DD6D83D" w14:textId="77777777" w:rsidR="005908E8" w:rsidRPr="008A2CA6" w:rsidRDefault="005908E8" w:rsidP="00AF1793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</w:tcPr>
          <w:p w14:paraId="66328B80" w14:textId="77777777" w:rsidR="005908E8" w:rsidRPr="008A2CA6" w:rsidRDefault="005908E8" w:rsidP="00AF179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1</w:t>
            </w:r>
            <w:r w:rsidRPr="008A2CA6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450 000</w:t>
            </w:r>
          </w:p>
        </w:tc>
        <w:tc>
          <w:tcPr>
            <w:tcW w:w="1530" w:type="dxa"/>
          </w:tcPr>
          <w:p w14:paraId="3C1EAAB5" w14:textId="77777777" w:rsidR="005908E8" w:rsidRPr="008A2CA6" w:rsidRDefault="005908E8" w:rsidP="00AF179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070" w:type="dxa"/>
          </w:tcPr>
          <w:p w14:paraId="7F87A93B" w14:textId="77777777" w:rsidR="005908E8" w:rsidRPr="008A2CA6" w:rsidRDefault="005908E8" w:rsidP="00AF1793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1</w:t>
            </w:r>
            <w:r w:rsidRPr="008A2CA6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8A2CA6">
              <w:rPr>
                <w:rFonts w:ascii="GHEA Grapalat" w:hAnsi="GHEA Grapalat" w:cs="Arial LatArm"/>
                <w:sz w:val="18"/>
                <w:szCs w:val="18"/>
                <w:lang w:val="hy-AM"/>
              </w:rPr>
              <w:t>450 000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02D3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EE92DF1" w:rsidR="0022631D" w:rsidRPr="00183368" w:rsidRDefault="00202D3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11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A20AA" w:rsidRPr="00202D3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CC9EE50" w:rsidR="0022631D" w:rsidRPr="00183368" w:rsidRDefault="00202D3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30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11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7A1008" w:rsidRPr="00202D3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202D3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EF8612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18.11</w:t>
            </w:r>
            <w:r w:rsidR="00C24C22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.2022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AE8080E" w:rsidR="0022631D" w:rsidRPr="004533EC" w:rsidRDefault="00D31596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11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D3159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65428B3" w:rsidR="0022631D" w:rsidRPr="006E4E84" w:rsidRDefault="005908E8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908E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3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12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5908E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5908E8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3303A7AD" w:rsidR="004848A4" w:rsidRPr="00D80918" w:rsidRDefault="005908E8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5908E8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Կարեն Ղազարյան ԱՁ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65D60837" w:rsidR="004848A4" w:rsidRPr="00B31E01" w:rsidRDefault="005908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5908E8">
              <w:rPr>
                <w:rFonts w:ascii="Sylfaen" w:hAnsi="Sylfaen"/>
                <w:b/>
                <w:iCs/>
                <w:sz w:val="20"/>
                <w:lang w:val="hy-AM"/>
              </w:rPr>
              <w:t>ԳՄՄՀ-ԳՀԱՊՁԲ-23/05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6B9338F8" w:rsidR="004848A4" w:rsidRPr="00187F0D" w:rsidRDefault="005908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>
              <w:rPr>
                <w:b/>
                <w:sz w:val="18"/>
                <w:szCs w:val="18"/>
                <w:lang w:val="hy-AM"/>
              </w:rPr>
              <w:t>3</w:t>
            </w:r>
            <w:r w:rsidR="00187F0D" w:rsidRPr="007E0754">
              <w:rPr>
                <w:b/>
                <w:sz w:val="18"/>
                <w:szCs w:val="18"/>
                <w:lang w:val="ru-RU"/>
              </w:rPr>
              <w:t>.</w:t>
            </w:r>
            <w:r>
              <w:rPr>
                <w:b/>
                <w:sz w:val="18"/>
                <w:szCs w:val="18"/>
                <w:lang w:val="hy-AM"/>
              </w:rPr>
              <w:t>12</w:t>
            </w:r>
            <w:r w:rsidR="00187F0D" w:rsidRPr="007E0754">
              <w:rPr>
                <w:b/>
                <w:sz w:val="18"/>
                <w:szCs w:val="18"/>
                <w:lang w:val="ru-RU"/>
              </w:rPr>
              <w:t>.2023</w:t>
            </w:r>
            <w:r w:rsidR="004165BF" w:rsidRPr="007E0754">
              <w:rPr>
                <w:b/>
                <w:sz w:val="18"/>
                <w:szCs w:val="18"/>
                <w:lang w:val="ru-RU"/>
              </w:rPr>
              <w:t>թ</w:t>
            </w:r>
            <w:r w:rsidR="004165BF" w:rsidRPr="00122FB5"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7483DF7B" w:rsidR="004848A4" w:rsidRPr="006E4E84" w:rsidRDefault="00B17090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30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12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3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1C99BEF8" w:rsidR="004848A4" w:rsidRPr="005908E8" w:rsidRDefault="005908E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5908E8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1 448 000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6A6CD016" w:rsidR="004848A4" w:rsidRPr="00187F0D" w:rsidRDefault="005908E8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5908E8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1 448 000</w:t>
            </w:r>
          </w:p>
        </w:tc>
      </w:tr>
      <w:tr w:rsidR="0022631D" w:rsidRPr="005908E8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5908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5908E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5908E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5908E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5908E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5908E8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185257D8" w:rsidR="00F8399F" w:rsidRPr="006E4E84" w:rsidRDefault="005908E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908E8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Կարեն Ղազարյան ԱՁ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36368E54" w:rsidR="00F8399F" w:rsidRPr="00823FF3" w:rsidRDefault="005908E8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5908E8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ք</w:t>
            </w:r>
            <w:r w:rsidRPr="005908E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5908E8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Աբովյան, 4-րդ միկրոշրջան, 6-17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3B6B0" w14:textId="77777777" w:rsidR="005908E8" w:rsidRPr="005908E8" w:rsidRDefault="005908E8" w:rsidP="005908E8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9" w:history="1">
              <w:r w:rsidRPr="005908E8">
                <w:rPr>
                  <w:rStyle w:val="ac"/>
                  <w:lang w:val="ru-RU"/>
                </w:rPr>
                <w:t>karloss.84@mail.ru</w:t>
              </w:r>
            </w:hyperlink>
          </w:p>
          <w:p w14:paraId="4FF9CEE3" w14:textId="13D2689B" w:rsidR="00A83978" w:rsidRPr="00A83978" w:rsidRDefault="00A83978" w:rsidP="00A83978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4920FDDF" w14:textId="3A7FB2C4" w:rsidR="00823FF3" w:rsidRPr="00823FF3" w:rsidRDefault="00823FF3" w:rsidP="00823FF3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6B83FFE" w:rsidR="00F8399F" w:rsidRPr="00E46A4E" w:rsidRDefault="00E46A4E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220489670343000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57BA879" w:rsidR="00F8399F" w:rsidRPr="00E46A4E" w:rsidRDefault="00E46A4E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80967827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460B82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460B82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460B82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460B82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460B82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460B82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6DDB6" w14:textId="77777777" w:rsidR="00587914" w:rsidRDefault="00587914" w:rsidP="0022631D">
      <w:pPr>
        <w:spacing w:before="0" w:after="0"/>
      </w:pPr>
      <w:r>
        <w:separator/>
      </w:r>
    </w:p>
  </w:endnote>
  <w:endnote w:type="continuationSeparator" w:id="0">
    <w:p w14:paraId="633C496F" w14:textId="77777777" w:rsidR="00587914" w:rsidRDefault="0058791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0624B" w14:textId="77777777" w:rsidR="00587914" w:rsidRDefault="00587914" w:rsidP="0022631D">
      <w:pPr>
        <w:spacing w:before="0" w:after="0"/>
      </w:pPr>
      <w:r>
        <w:separator/>
      </w:r>
    </w:p>
  </w:footnote>
  <w:footnote w:type="continuationSeparator" w:id="0">
    <w:p w14:paraId="5AC71599" w14:textId="77777777" w:rsidR="00587914" w:rsidRDefault="00587914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37317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B26FB"/>
    <w:rsid w:val="004D078F"/>
    <w:rsid w:val="004D585C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87914"/>
    <w:rsid w:val="005908E8"/>
    <w:rsid w:val="005A37D6"/>
    <w:rsid w:val="005C6C14"/>
    <w:rsid w:val="005D5FBD"/>
    <w:rsid w:val="00601E4D"/>
    <w:rsid w:val="00607C9A"/>
    <w:rsid w:val="006219AB"/>
    <w:rsid w:val="006225F4"/>
    <w:rsid w:val="00646760"/>
    <w:rsid w:val="00661C1E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72F78"/>
    <w:rsid w:val="007732E7"/>
    <w:rsid w:val="00783E6B"/>
    <w:rsid w:val="0078682E"/>
    <w:rsid w:val="007923C7"/>
    <w:rsid w:val="007A1008"/>
    <w:rsid w:val="007E0754"/>
    <w:rsid w:val="0081420B"/>
    <w:rsid w:val="00816AB7"/>
    <w:rsid w:val="00823FF3"/>
    <w:rsid w:val="00826D7E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80991"/>
    <w:rsid w:val="00A83978"/>
    <w:rsid w:val="00AA32E4"/>
    <w:rsid w:val="00AA6699"/>
    <w:rsid w:val="00AD07B9"/>
    <w:rsid w:val="00AD59DC"/>
    <w:rsid w:val="00AE3DA7"/>
    <w:rsid w:val="00AE67CF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80918"/>
    <w:rsid w:val="00D80C64"/>
    <w:rsid w:val="00D83326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rloss.8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32C4-2970-44DA-906D-66499285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201</cp:revision>
  <cp:lastPrinted>2021-04-06T07:47:00Z</cp:lastPrinted>
  <dcterms:created xsi:type="dcterms:W3CDTF">2021-06-28T12:08:00Z</dcterms:created>
  <dcterms:modified xsi:type="dcterms:W3CDTF">2023-12-14T11:16:00Z</dcterms:modified>
</cp:coreProperties>
</file>