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EA2C86" w:rsidRPr="00EA2C86">
        <w:rPr>
          <w:rFonts w:ascii="GHEA Grapalat" w:hAnsi="GHEA Grapalat"/>
          <w:i w:val="0"/>
          <w:sz w:val="24"/>
          <w:szCs w:val="24"/>
        </w:rPr>
        <w:t>7</w:t>
      </w:r>
      <w:r w:rsidRPr="001E66DB">
        <w:rPr>
          <w:rFonts w:ascii="GHEA Grapalat" w:hAnsi="GHEA Grapalat"/>
          <w:i w:val="0"/>
          <w:sz w:val="24"/>
          <w:szCs w:val="24"/>
        </w:rPr>
        <w:t xml:space="preserve">-го апреля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«GHAPDzB-HVKAK-2021-26»</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9C4B38" w:rsidRPr="00EA2C86">
        <w:rPr>
          <w:b/>
        </w:rPr>
        <w:t>1</w:t>
      </w:r>
      <w:r w:rsidR="00EA2C86" w:rsidRPr="005D53BA">
        <w:rPr>
          <w:b/>
        </w:rPr>
        <w:t>6</w:t>
      </w:r>
      <w:r w:rsidRPr="00EA2C86">
        <w:rPr>
          <w:b/>
        </w:rPr>
        <w:t>-го</w:t>
      </w:r>
      <w:r w:rsidRPr="00EA2C86">
        <w:rPr>
          <w:rFonts w:cs="Arial LatArm"/>
          <w:b/>
        </w:rPr>
        <w:t xml:space="preserve"> </w:t>
      </w:r>
      <w:r w:rsidR="009C4B38" w:rsidRPr="00EA2C86">
        <w:rPr>
          <w:b/>
        </w:rPr>
        <w:t>апреля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«GHAPDzB-HVKAK-2021-2</w:t>
      </w:r>
      <w:r w:rsidR="0061127B" w:rsidRPr="00C756FC">
        <w:rPr>
          <w:i/>
        </w:rPr>
        <w:t>6</w:t>
      </w:r>
      <w:r w:rsidRPr="00C756FC">
        <w:rPr>
          <w:i/>
        </w:rPr>
        <w:t>»</w:t>
      </w:r>
      <w:r w:rsidRPr="00C756FC">
        <w:rPr>
          <w:i/>
        </w:rPr>
        <w:br/>
        <w:t xml:space="preserve">  № 1 от </w:t>
      </w:r>
      <w:r w:rsidR="005D53BA" w:rsidRPr="005D53BA">
        <w:rPr>
          <w:i/>
        </w:rPr>
        <w:t>7</w:t>
      </w:r>
      <w:r w:rsidRPr="00C756FC">
        <w:rPr>
          <w:i/>
        </w:rPr>
        <w:t xml:space="preserve">-го </w:t>
      </w:r>
      <w:r w:rsidR="0061127B" w:rsidRPr="00C756FC">
        <w:rPr>
          <w:i/>
        </w:rPr>
        <w:t>апреля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Pr>
          <w:b/>
          <w:sz w:val="22"/>
          <w:szCs w:val="22"/>
        </w:rPr>
        <w:t>GHAPDzB-HVKAK-2021-2</w:t>
      </w:r>
      <w:r w:rsidRPr="00713E87">
        <w:rPr>
          <w:b/>
          <w:sz w:val="22"/>
          <w:szCs w:val="22"/>
        </w:rPr>
        <w:t>6</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Pr="00790ACD">
        <w:rPr>
          <w:b/>
        </w:rPr>
        <w:t>48</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CD65C1">
            <w:pPr>
              <w:rPr>
                <w:lang w:val="en-US"/>
              </w:rPr>
            </w:pPr>
            <w:r w:rsidRPr="00E47DF9">
              <w:rPr>
                <w:lang w:val="en-US"/>
              </w:rPr>
              <w:t>1-48</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отклоняются как в порядке совместной деятельности, так и отдельно </w:t>
      </w:r>
      <w:r>
        <w:lastRenderedPageBreak/>
        <w:t>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lastRenderedPageBreak/>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w:t>
      </w:r>
      <w:r>
        <w:lastRenderedPageBreak/>
        <w:t>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lastRenderedPageBreak/>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lastRenderedPageBreak/>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044F1">
        <w:lastRenderedPageBreak/>
        <w:t>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lastRenderedPageBreak/>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lastRenderedPageBreak/>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lastRenderedPageBreak/>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w:t>
      </w:r>
      <w:r w:rsidR="00030D40" w:rsidRPr="009044F1">
        <w:lastRenderedPageBreak/>
        <w:t xml:space="preserve">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Pr>
          <w:rFonts w:ascii="GHEA Grapalat" w:hAnsi="GHEA Grapalat"/>
          <w:b/>
          <w:sz w:val="22"/>
          <w:szCs w:val="22"/>
        </w:rPr>
        <w:t>GHAPDzB-HVKAK-2021-2</w:t>
      </w:r>
      <w:r w:rsidR="008C110B" w:rsidRPr="008C110B">
        <w:rPr>
          <w:rFonts w:ascii="GHEA Grapalat" w:hAnsi="GHEA Grapalat"/>
          <w:b/>
          <w:sz w:val="22"/>
          <w:szCs w:val="22"/>
        </w:rPr>
        <w:t>6</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Pr>
          <w:b/>
          <w:sz w:val="22"/>
          <w:szCs w:val="22"/>
        </w:rPr>
        <w:t>GHAPDzB-HVKAK-2021-2</w:t>
      </w:r>
      <w:r w:rsidR="008C110B" w:rsidRPr="008C110B">
        <w:rPr>
          <w:b/>
          <w:sz w:val="22"/>
          <w:szCs w:val="22"/>
        </w:rPr>
        <w:t>6</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Pr>
          <w:rFonts w:ascii="GHEA Grapalat" w:hAnsi="GHEA Grapalat"/>
          <w:b/>
          <w:sz w:val="22"/>
          <w:szCs w:val="22"/>
        </w:rPr>
        <w:t>GHAPDzB-HVKAK-2021-2</w:t>
      </w:r>
      <w:r w:rsidR="008C110B" w:rsidRPr="008C110B">
        <w:rPr>
          <w:rFonts w:ascii="GHEA Grapalat" w:hAnsi="GHEA Grapalat"/>
          <w:b/>
          <w:sz w:val="22"/>
          <w:szCs w:val="22"/>
        </w:rPr>
        <w:t>6</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Pr>
          <w:rFonts w:ascii="GHEA Grapalat" w:hAnsi="GHEA Grapalat"/>
          <w:b/>
          <w:sz w:val="22"/>
          <w:szCs w:val="22"/>
        </w:rPr>
        <w:t>GHAPDzB-HVKAK-2021-2</w:t>
      </w:r>
      <w:r w:rsidRPr="008C110B">
        <w:rPr>
          <w:rFonts w:ascii="GHEA Grapalat" w:hAnsi="GHEA Grapalat"/>
          <w:b/>
          <w:sz w:val="22"/>
          <w:szCs w:val="22"/>
        </w:rPr>
        <w:t>6</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Pr>
          <w:b/>
          <w:sz w:val="22"/>
          <w:szCs w:val="22"/>
        </w:rPr>
        <w:t>GHAPDzB-HVKAK-2021-2</w:t>
      </w:r>
      <w:r w:rsidRPr="00A5103C">
        <w:rPr>
          <w:b/>
          <w:sz w:val="22"/>
          <w:szCs w:val="22"/>
        </w:rPr>
        <w:t>6</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A5103C">
        <w:rPr>
          <w:b/>
          <w:sz w:val="22"/>
          <w:szCs w:val="22"/>
        </w:rPr>
        <w:t>GHAPDzB-HVKAK-2021-2</w:t>
      </w:r>
      <w:r w:rsidRPr="00B571F4">
        <w:rPr>
          <w:b/>
          <w:sz w:val="22"/>
          <w:szCs w:val="22"/>
        </w:rPr>
        <w:t>6</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6496E">
        <w:rPr>
          <w:rFonts w:ascii="GHEA Grapalat" w:hAnsi="GHEA Grapalat"/>
          <w:b/>
          <w:sz w:val="22"/>
          <w:szCs w:val="22"/>
        </w:rPr>
        <w:t>GHAPDzB-HVKAK-2021-</w:t>
      </w:r>
      <w:r>
        <w:rPr>
          <w:rFonts w:ascii="GHEA Grapalat" w:hAnsi="GHEA Grapalat"/>
          <w:b/>
          <w:sz w:val="22"/>
          <w:szCs w:val="22"/>
        </w:rPr>
        <w:t>2</w:t>
      </w:r>
      <w:r w:rsidR="0066496E" w:rsidRPr="0066496E">
        <w:rPr>
          <w:rFonts w:ascii="GHEA Grapalat" w:hAnsi="GHEA Grapalat"/>
          <w:b/>
          <w:sz w:val="22"/>
          <w:szCs w:val="22"/>
        </w:rPr>
        <w:t>6</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66496E">
        <w:rPr>
          <w:b/>
        </w:rPr>
        <w:t>GHAPDzB-HVKAK-2021-</w:t>
      </w:r>
      <w:r>
        <w:rPr>
          <w:b/>
        </w:rPr>
        <w:t>2</w:t>
      </w:r>
      <w:r w:rsidR="0066496E" w:rsidRPr="0066496E">
        <w:rPr>
          <w:b/>
        </w:rPr>
        <w:t>6</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«GHAPDzB-HVKAK-2021-2</w:t>
      </w:r>
      <w:r w:rsidR="00210175" w:rsidRPr="00210175">
        <w:rPr>
          <w:b/>
          <w:sz w:val="22"/>
          <w:szCs w:val="22"/>
        </w:rPr>
        <w:t>6</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Pr>
          <w:b/>
          <w:sz w:val="22"/>
          <w:szCs w:val="22"/>
        </w:rPr>
        <w:t>GHAPDzB-HVKAK-2021-2</w:t>
      </w:r>
      <w:r w:rsidR="008C0CAC" w:rsidRPr="008C0CAC">
        <w:rPr>
          <w:b/>
          <w:sz w:val="22"/>
          <w:szCs w:val="22"/>
        </w:rPr>
        <w:t>6</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8C0CAC">
        <w:rPr>
          <w:b/>
          <w:sz w:val="22"/>
          <w:szCs w:val="22"/>
        </w:rPr>
        <w:t>GHAPDzB-HVKAK-2021-</w:t>
      </w:r>
      <w:r>
        <w:rPr>
          <w:b/>
          <w:sz w:val="22"/>
          <w:szCs w:val="22"/>
        </w:rPr>
        <w:t>2</w:t>
      </w:r>
      <w:r w:rsidR="008C0CAC" w:rsidRPr="008C0CAC">
        <w:rPr>
          <w:b/>
          <w:sz w:val="22"/>
          <w:szCs w:val="22"/>
        </w:rPr>
        <w:t>6</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8C0CAC">
        <w:rPr>
          <w:b/>
          <w:sz w:val="22"/>
          <w:szCs w:val="22"/>
        </w:rPr>
        <w:t>GHAPDzB-HVKAK-2021-</w:t>
      </w:r>
      <w:r>
        <w:rPr>
          <w:b/>
          <w:sz w:val="22"/>
          <w:szCs w:val="22"/>
        </w:rPr>
        <w:t>2</w:t>
      </w:r>
      <w:r w:rsidR="008C0CAC" w:rsidRPr="008C0CAC">
        <w:rPr>
          <w:b/>
          <w:sz w:val="22"/>
          <w:szCs w:val="22"/>
        </w:rPr>
        <w:t>6</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«GHAPDzB-HVKAK-2021-26»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61" w:rsidRDefault="00296F61" w:rsidP="00B360E2">
      <w:r>
        <w:separator/>
      </w:r>
    </w:p>
  </w:endnote>
  <w:endnote w:type="continuationSeparator" w:id="0">
    <w:p w:rsidR="00296F61" w:rsidRDefault="00296F61"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96F61" w:rsidRPr="00C861E9" w:rsidRDefault="009B37C1" w:rsidP="00B360E2">
        <w:pPr>
          <w:pStyle w:val="Footer"/>
        </w:pPr>
        <w:fldSimple w:instr=" PAGE   \* MERGEFORMAT ">
          <w:r w:rsidR="005D53BA">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96F61" w:rsidRPr="00C861E9" w:rsidRDefault="009B37C1">
        <w:pPr>
          <w:pStyle w:val="Footer"/>
          <w:jc w:val="center"/>
          <w:rPr>
            <w:sz w:val="24"/>
            <w:szCs w:val="24"/>
          </w:rPr>
        </w:pPr>
        <w:r w:rsidRPr="00C861E9">
          <w:rPr>
            <w:sz w:val="24"/>
            <w:szCs w:val="24"/>
          </w:rPr>
          <w:fldChar w:fldCharType="begin"/>
        </w:r>
        <w:r w:rsidR="00296F61" w:rsidRPr="00C861E9">
          <w:rPr>
            <w:sz w:val="24"/>
            <w:szCs w:val="24"/>
          </w:rPr>
          <w:instrText xml:space="preserve"> PAGE   \* MERGEFORMAT </w:instrText>
        </w:r>
        <w:r w:rsidRPr="00C861E9">
          <w:rPr>
            <w:sz w:val="24"/>
            <w:szCs w:val="24"/>
          </w:rPr>
          <w:fldChar w:fldCharType="separate"/>
        </w:r>
        <w:r w:rsidR="005D53BA">
          <w:rPr>
            <w:noProof/>
            <w:sz w:val="24"/>
            <w:szCs w:val="24"/>
          </w:rPr>
          <w:t>63</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61" w:rsidRDefault="00296F61" w:rsidP="00B360E2">
      <w:r>
        <w:separator/>
      </w:r>
    </w:p>
  </w:footnote>
  <w:footnote w:type="continuationSeparator" w:id="0">
    <w:p w:rsidR="00296F61" w:rsidRDefault="00296F61" w:rsidP="00B360E2">
      <w:r>
        <w:continuationSeparator/>
      </w:r>
    </w:p>
  </w:footnote>
  <w:footnote w:id="1">
    <w:p w:rsidR="00296F61" w:rsidRPr="00A31673" w:rsidRDefault="00296F61"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96F61" w:rsidRPr="008416BA" w:rsidRDefault="00296F61"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96F61" w:rsidRDefault="00296F61" w:rsidP="0090055D"/>
    <w:p w:rsidR="00296F61" w:rsidRDefault="00296F61"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96F61" w:rsidRDefault="00296F61" w:rsidP="0090055D">
      <w:pPr>
        <w:pStyle w:val="FootnoteText"/>
        <w:rPr>
          <w:rFonts w:asciiTheme="minorHAnsi" w:hAnsiTheme="minorHAnsi"/>
          <w:lang w:val="af-ZA"/>
        </w:rPr>
      </w:pPr>
    </w:p>
  </w:footnote>
  <w:footnote w:id="3">
    <w:p w:rsidR="00296F61" w:rsidRPr="00D3436F" w:rsidRDefault="00296F61"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96F61" w:rsidRPr="00D3436F" w:rsidRDefault="00296F61" w:rsidP="0090055D">
      <w:pPr>
        <w:pStyle w:val="FootnoteText"/>
        <w:rPr>
          <w:lang w:val="es-ES"/>
        </w:rPr>
      </w:pPr>
    </w:p>
  </w:footnote>
  <w:footnote w:id="4">
    <w:p w:rsidR="00296F61" w:rsidRPr="008842CE" w:rsidRDefault="00296F61" w:rsidP="00602C9A">
      <w:pPr>
        <w:pStyle w:val="FootnoteText"/>
      </w:pPr>
    </w:p>
  </w:footnote>
  <w:footnote w:id="5">
    <w:p w:rsidR="00296F61" w:rsidRPr="00343969" w:rsidRDefault="00296F61" w:rsidP="00602C9A">
      <w:pPr>
        <w:pStyle w:val="FootnoteText"/>
        <w:rPr>
          <w:rFonts w:asciiTheme="minorHAnsi" w:hAnsiTheme="minorHAnsi"/>
        </w:rPr>
      </w:pPr>
    </w:p>
  </w:footnote>
  <w:footnote w:id="6">
    <w:p w:rsidR="00296F61" w:rsidRPr="00D3436F" w:rsidRDefault="00296F61"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96F61" w:rsidRPr="00402BC3" w:rsidRDefault="00296F61"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96F61" w:rsidRPr="00552088" w:rsidRDefault="00296F61"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96F61" w:rsidRPr="00D3436F" w:rsidRDefault="00296F61" w:rsidP="00B360E2">
      <w:pPr>
        <w:pStyle w:val="FootnoteText"/>
        <w:rPr>
          <w:lang w:val="hy-AM"/>
        </w:rPr>
      </w:pPr>
    </w:p>
  </w:footnote>
  <w:footnote w:id="8">
    <w:p w:rsidR="00296F61" w:rsidRPr="008842CE" w:rsidRDefault="00296F61"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96F61" w:rsidRPr="00D3436F" w:rsidRDefault="00296F61" w:rsidP="00B360E2">
      <w:pPr>
        <w:pStyle w:val="FootnoteText"/>
        <w:rPr>
          <w:lang w:val="hy-AM"/>
        </w:rPr>
      </w:pPr>
    </w:p>
  </w:footnote>
  <w:footnote w:id="9">
    <w:p w:rsidR="00296F61" w:rsidRPr="00D3436F" w:rsidRDefault="00296F61"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96F61" w:rsidRPr="008842CE" w:rsidRDefault="00296F61"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96F61" w:rsidRPr="00D3436F" w:rsidRDefault="00296F61" w:rsidP="00B360E2">
      <w:pPr>
        <w:pStyle w:val="FootnoteText"/>
        <w:rPr>
          <w:lang w:val="hy-AM"/>
        </w:rPr>
      </w:pPr>
    </w:p>
  </w:footnote>
  <w:footnote w:id="11">
    <w:p w:rsidR="00296F61" w:rsidRPr="00E861BF" w:rsidRDefault="00296F61"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EF4A-9EC6-4446-944B-EA292520D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64</Pages>
  <Words>13620</Words>
  <Characters>99780</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1052</cp:revision>
  <cp:lastPrinted>2018-02-16T07:12:00Z</cp:lastPrinted>
  <dcterms:created xsi:type="dcterms:W3CDTF">2019-10-28T07:04:00Z</dcterms:created>
  <dcterms:modified xsi:type="dcterms:W3CDTF">2021-04-08T12:55:00Z</dcterms:modified>
</cp:coreProperties>
</file>