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385206" w:rsidRPr="000E460F" w:rsidRDefault="00385206" w:rsidP="00385206">
      <w:pPr>
        <w:rPr>
          <w:rFonts w:ascii="Sylfaen" w:hAnsi="Sylfaen" w:cs="Sylfaen"/>
          <w:sz w:val="22"/>
          <w:szCs w:val="22"/>
          <w:lang w:val="hy-AM"/>
        </w:rPr>
      </w:pP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Pr="004B622A" w:rsidRDefault="00184678" w:rsidP="00385206">
      <w:pPr>
        <w:rPr>
          <w:rFonts w:ascii="Sylfaen" w:hAnsi="Sylfaen" w:cs="Sylfaen"/>
          <w:sz w:val="22"/>
          <w:szCs w:val="22"/>
        </w:rPr>
      </w:pP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B74ADB" w:rsidRPr="00FD28CC" w:rsidTr="0010621A">
        <w:trPr>
          <w:trHeight w:val="834"/>
        </w:trPr>
        <w:tc>
          <w:tcPr>
            <w:tcW w:w="5495" w:type="dxa"/>
          </w:tcPr>
          <w:p w:rsidR="00B74ADB" w:rsidRPr="00741B67" w:rsidRDefault="00BE1441" w:rsidP="00044E3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szCs w:val="22"/>
                <w:lang w:val="af-ZA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 xml:space="preserve">1. </w:t>
            </w:r>
            <w:r w:rsidR="00B74ADB">
              <w:rPr>
                <w:rFonts w:ascii="Sylfaen" w:hAnsi="Sylfaen" w:cs="Sylfaen"/>
                <w:lang w:val="en-US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FD28CC" w:rsidRPr="0010621A" w:rsidRDefault="0010621A" w:rsidP="00972B1A">
            <w:pPr>
              <w:tabs>
                <w:tab w:val="left" w:pos="2892"/>
              </w:tabs>
              <w:spacing w:line="276" w:lineRule="auto"/>
              <w:rPr>
                <w:rStyle w:val="ypks7kbdpwfgdykd3qb9"/>
              </w:rPr>
            </w:pPr>
            <w:r w:rsidRPr="0010621A">
              <w:rPr>
                <w:rStyle w:val="ypks7kbdpwfgdykd3qb9"/>
              </w:rPr>
              <w:t>Կարգավոր</w:t>
            </w:r>
            <w:bookmarkStart w:id="0" w:name="_GoBack"/>
            <w:bookmarkEnd w:id="0"/>
            <w:r w:rsidRPr="0010621A">
              <w:rPr>
                <w:rStyle w:val="ypks7kbdpwfgdykd3qb9"/>
              </w:rPr>
              <w:t>ող փականների ձեռքբերում</w:t>
            </w:r>
          </w:p>
        </w:tc>
      </w:tr>
      <w:tr w:rsidR="00B74ADB" w:rsidRPr="00E60FBC" w:rsidTr="002078BE">
        <w:tc>
          <w:tcPr>
            <w:tcW w:w="5495" w:type="dxa"/>
            <w:vAlign w:val="center"/>
          </w:tcPr>
          <w:p w:rsidR="00B74ADB" w:rsidRPr="00741B67" w:rsidRDefault="00B74ADB" w:rsidP="00F45ABC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74ADB" w:rsidRPr="0010621A" w:rsidRDefault="00972B1A" w:rsidP="0010621A">
            <w:pPr>
              <w:tabs>
                <w:tab w:val="left" w:pos="2892"/>
              </w:tabs>
              <w:spacing w:line="276" w:lineRule="auto"/>
              <w:rPr>
                <w:rStyle w:val="ypks7kbdpwfgdykd3qb9"/>
              </w:rPr>
            </w:pPr>
            <w:r w:rsidRPr="00972B1A">
              <w:rPr>
                <w:rStyle w:val="ypks7kbdpwfgdykd3qb9"/>
              </w:rPr>
              <w:t>Поставка</w:t>
            </w:r>
            <w:r w:rsidR="00FD28CC" w:rsidRPr="0010621A">
              <w:rPr>
                <w:rStyle w:val="ypks7kbdpwfgdykd3qb9"/>
              </w:rPr>
              <w:t xml:space="preserve"> </w:t>
            </w:r>
            <w:r w:rsidR="0010621A">
              <w:rPr>
                <w:rStyle w:val="ypks7kbdpwfgdykd3qb9"/>
              </w:rPr>
              <w:t>регулирующих</w:t>
            </w:r>
            <w:r w:rsidR="0010621A" w:rsidRPr="0010621A">
              <w:rPr>
                <w:rStyle w:val="ypks7kbdpwfgdykd3qb9"/>
              </w:rPr>
              <w:t xml:space="preserve"> </w:t>
            </w:r>
            <w:r w:rsidR="0010621A">
              <w:rPr>
                <w:rStyle w:val="ypks7kbdpwfgdykd3qb9"/>
              </w:rPr>
              <w:t>клапанов</w:t>
            </w:r>
            <w:r w:rsidRPr="0010621A">
              <w:rPr>
                <w:rStyle w:val="ypks7kbdpwfgdykd3qb9"/>
              </w:rPr>
              <w:t>.</w:t>
            </w:r>
          </w:p>
        </w:tc>
      </w:tr>
      <w:tr w:rsidR="00B74ADB" w:rsidRPr="00972B1A" w:rsidTr="002078BE">
        <w:tc>
          <w:tcPr>
            <w:tcW w:w="5495" w:type="dxa"/>
          </w:tcPr>
          <w:p w:rsidR="00B74ADB" w:rsidRPr="00741B67" w:rsidRDefault="00B74ADB" w:rsidP="00F45ABC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74ADB" w:rsidRPr="0010621A" w:rsidRDefault="0010621A" w:rsidP="00972B1A">
            <w:pPr>
              <w:tabs>
                <w:tab w:val="left" w:pos="2892"/>
              </w:tabs>
              <w:spacing w:line="276" w:lineRule="auto"/>
              <w:rPr>
                <w:rStyle w:val="ypks7kbdpwfgdykd3qb9"/>
              </w:rPr>
            </w:pPr>
            <w:proofErr w:type="spellStart"/>
            <w:r w:rsidRPr="0010621A">
              <w:rPr>
                <w:rStyle w:val="ypks7kbdpwfgdykd3qb9"/>
              </w:rPr>
              <w:t>Purchase</w:t>
            </w:r>
            <w:proofErr w:type="spellEnd"/>
            <w:r w:rsidRPr="0010621A">
              <w:rPr>
                <w:rStyle w:val="ypks7kbdpwfgdykd3qb9"/>
              </w:rPr>
              <w:t xml:space="preserve"> </w:t>
            </w:r>
            <w:proofErr w:type="spellStart"/>
            <w:r w:rsidRPr="0010621A">
              <w:rPr>
                <w:rStyle w:val="ypks7kbdpwfgdykd3qb9"/>
              </w:rPr>
              <w:t>of</w:t>
            </w:r>
            <w:proofErr w:type="spellEnd"/>
            <w:r w:rsidRPr="0010621A">
              <w:rPr>
                <w:rStyle w:val="ypks7kbdpwfgdykd3qb9"/>
              </w:rPr>
              <w:t xml:space="preserve"> </w:t>
            </w:r>
            <w:proofErr w:type="spellStart"/>
            <w:r w:rsidRPr="0010621A">
              <w:rPr>
                <w:rStyle w:val="ypks7kbdpwfgdykd3qb9"/>
              </w:rPr>
              <w:t>control</w:t>
            </w:r>
            <w:proofErr w:type="spellEnd"/>
            <w:r w:rsidRPr="0010621A">
              <w:rPr>
                <w:rStyle w:val="ypks7kbdpwfgdykd3qb9"/>
              </w:rPr>
              <w:t xml:space="preserve"> </w:t>
            </w:r>
            <w:proofErr w:type="spellStart"/>
            <w:r w:rsidRPr="0010621A">
              <w:rPr>
                <w:rStyle w:val="ypks7kbdpwfgdykd3qb9"/>
              </w:rPr>
              <w:t>valves</w:t>
            </w:r>
            <w:proofErr w:type="spellEnd"/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10621A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10621A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10621A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20463D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10621A">
              <w:rPr>
                <w:rFonts w:ascii="Sylfaen" w:hAnsi="Sylfaen" w:cs="Sylfaen"/>
                <w:lang w:val="af-ZA"/>
              </w:rPr>
              <w:t>01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2722F5">
              <w:rPr>
                <w:rFonts w:ascii="Sylfaen" w:hAnsi="Sylfaen" w:cs="Sylfaen"/>
                <w:lang w:val="af-ZA"/>
              </w:rPr>
              <w:t xml:space="preserve"> </w:t>
            </w:r>
            <w:r w:rsidR="002722F5">
              <w:rPr>
                <w:rFonts w:ascii="Sylfaen" w:hAnsi="Sylfaen" w:cs="Sylfaen"/>
                <w:lang w:val="af-ZA"/>
              </w:rPr>
              <w:t>0</w:t>
            </w:r>
            <w:r w:rsidR="0010621A">
              <w:rPr>
                <w:rFonts w:ascii="Sylfaen" w:hAnsi="Sylfaen" w:cs="Sylfaen"/>
                <w:lang w:val="af-ZA"/>
              </w:rPr>
              <w:t>4</w:t>
            </w:r>
            <w:r w:rsidRPr="002722F5">
              <w:rPr>
                <w:rFonts w:ascii="Sylfaen" w:hAnsi="Sylfaen" w:cs="Sylfaen"/>
                <w:lang w:val="af-ZA"/>
              </w:rPr>
              <w:t xml:space="preserve"> 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.20</w:t>
            </w:r>
            <w:r w:rsidRPr="00AE7724">
              <w:rPr>
                <w:rFonts w:ascii="Sylfaen" w:hAnsi="Sylfaen" w:cs="Sylfaen"/>
                <w:lang w:val="af-ZA"/>
              </w:rPr>
              <w:t>2</w:t>
            </w:r>
            <w:r w:rsidR="00FD28CC">
              <w:rPr>
                <w:rFonts w:ascii="Sylfaen" w:hAnsi="Sylfaen" w:cs="Sylfaen"/>
                <w:lang w:val="af-ZA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10621A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10621A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D51424" w:rsidRPr="00882FAA" w:rsidTr="00B74ADB">
        <w:tc>
          <w:tcPr>
            <w:tcW w:w="4957" w:type="dxa"/>
          </w:tcPr>
          <w:p w:rsidR="00D51424" w:rsidRPr="00D51424" w:rsidRDefault="00384D72" w:rsidP="0020463D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4</w:t>
            </w:r>
            <w:r w:rsidR="00D51424"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 w:rsidRPr="0010621A">
              <w:rPr>
                <w:b/>
                <w:lang w:val="af-ZA"/>
              </w:rPr>
              <w:t>ООО «Барн</w:t>
            </w:r>
            <w:r>
              <w:rPr>
                <w:b/>
              </w:rPr>
              <w:t>аульский котельный завод»</w:t>
            </w:r>
          </w:p>
          <w:p w:rsidR="00D51424" w:rsidRPr="00972B1A" w:rsidRDefault="00972B1A" w:rsidP="00972B1A">
            <w:r>
              <w:t xml:space="preserve"> Российская Федерация, Алтайский край, г. Барнаул, проспект Космонавтов, 6Э</w:t>
            </w:r>
          </w:p>
        </w:tc>
      </w:tr>
      <w:tr w:rsidR="00972B1A" w:rsidRPr="00B63D45" w:rsidTr="00B74ADB">
        <w:tc>
          <w:tcPr>
            <w:tcW w:w="4957" w:type="dxa"/>
          </w:tcPr>
          <w:p w:rsidR="00972B1A" w:rsidRDefault="00972B1A" w:rsidP="00972B1A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>
              <w:rPr>
                <w:b/>
              </w:rPr>
              <w:t>ООО «Барнаульский котельный завод»</w:t>
            </w:r>
          </w:p>
          <w:p w:rsidR="00972B1A" w:rsidRPr="00972B1A" w:rsidRDefault="00972B1A" w:rsidP="00972B1A">
            <w:r>
              <w:t xml:space="preserve"> Российская Федерация, Алтайский край, г. Барнаул, проспект Космонавтов, 6Э</w:t>
            </w:r>
          </w:p>
        </w:tc>
      </w:tr>
      <w:tr w:rsidR="00972B1A" w:rsidRPr="00882FAA" w:rsidTr="00B74ADB">
        <w:tc>
          <w:tcPr>
            <w:tcW w:w="4957" w:type="dxa"/>
          </w:tcPr>
          <w:p w:rsidR="00972B1A" w:rsidRDefault="00972B1A" w:rsidP="00972B1A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>
              <w:rPr>
                <w:b/>
              </w:rPr>
              <w:t>ООО «Барнаульский котельный завод»</w:t>
            </w:r>
          </w:p>
          <w:p w:rsidR="00972B1A" w:rsidRPr="00BF36D6" w:rsidRDefault="00972B1A" w:rsidP="00972B1A">
            <w:r>
              <w:t xml:space="preserve"> Российская Федерация, Алтайский край, г. Барнаул, проспект Космонавтов, 6Э</w:t>
            </w:r>
          </w:p>
        </w:tc>
      </w:tr>
    </w:tbl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B74ADB" w:rsidRPr="00AE7724" w:rsidTr="00B74ADB">
        <w:tc>
          <w:tcPr>
            <w:tcW w:w="4839" w:type="dxa"/>
          </w:tcPr>
          <w:p w:rsidR="00B74ADB" w:rsidRPr="007D68D8" w:rsidRDefault="00384D72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7D68D8">
              <w:rPr>
                <w:rFonts w:ascii="Sylfaen" w:hAnsi="Sylfaen"/>
                <w:lang w:val="af-ZA"/>
              </w:rPr>
              <w:t>5</w:t>
            </w:r>
            <w:r w:rsidR="00482C46" w:rsidRPr="007D68D8">
              <w:rPr>
                <w:rFonts w:ascii="Sylfaen" w:hAnsi="Sylfaen"/>
                <w:lang w:val="af-ZA"/>
              </w:rPr>
              <w:t xml:space="preserve">.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Ընտրված</w:t>
            </w:r>
            <w:proofErr w:type="spellEnd"/>
            <w:r w:rsidR="00671CFC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մ</w:t>
            </w:r>
            <w:r w:rsidR="00482C46" w:rsidRPr="00882FAA">
              <w:rPr>
                <w:rFonts w:ascii="Sylfaen" w:hAnsi="Sylfaen"/>
                <w:lang w:val="en-US"/>
              </w:rPr>
              <w:t>ասնակ</w:t>
            </w:r>
            <w:r w:rsidR="00B74ADB" w:rsidRPr="00882FAA">
              <w:rPr>
                <w:rFonts w:ascii="Sylfaen" w:hAnsi="Sylfaen"/>
                <w:lang w:val="en-US"/>
              </w:rPr>
              <w:t>ցի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ներկայացրած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գնային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առաջարկը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r w:rsidR="00B74ADB" w:rsidRPr="00882FAA">
              <w:rPr>
                <w:rFonts w:ascii="Sylfaen" w:hAnsi="Sylfaen"/>
                <w:lang w:val="en-US"/>
              </w:rPr>
              <w:t>և</w:t>
            </w:r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պայմանագրի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գինը</w:t>
            </w:r>
            <w:proofErr w:type="spellEnd"/>
            <w:r w:rsidR="00B74ADB" w:rsidRPr="00882FAA">
              <w:rPr>
                <w:rFonts w:ascii="Sylfaen" w:hAnsi="Sylfaen"/>
                <w:lang w:val="en-US"/>
              </w:rPr>
              <w:t>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882FAA" w:rsidRDefault="0010621A" w:rsidP="002076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 w:rsidRPr="003F2B3A">
              <w:rPr>
                <w:rFonts w:ascii="GHEA Grapalat" w:hAnsi="GHEA Grapalat" w:cs="Sylfaen"/>
                <w:lang w:val="hy-AM"/>
              </w:rPr>
              <w:t>1,983,585</w:t>
            </w:r>
          </w:p>
        </w:tc>
        <w:tc>
          <w:tcPr>
            <w:tcW w:w="3686" w:type="dxa"/>
          </w:tcPr>
          <w:p w:rsidR="00B74ADB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ՌԴ </w:t>
            </w:r>
            <w:proofErr w:type="spellStart"/>
            <w:r>
              <w:rPr>
                <w:rFonts w:ascii="Sylfaen" w:hAnsi="Sylfaen"/>
                <w:lang w:val="en-US"/>
              </w:rPr>
              <w:t>ռուբլի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774A13" w:rsidTr="00B74ADB">
        <w:tc>
          <w:tcPr>
            <w:tcW w:w="4839" w:type="dxa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  <w:r w:rsidRPr="007D68D8">
              <w:rPr>
                <w:rFonts w:ascii="Sylfaen" w:hAnsi="Sylfaen"/>
              </w:rPr>
              <w:t xml:space="preserve">Ценовое предложение, представленное </w:t>
            </w:r>
            <w:r w:rsidR="00671CFC" w:rsidRPr="007D68D8">
              <w:rPr>
                <w:rFonts w:ascii="Sylfaen" w:hAnsi="Sylfaen"/>
              </w:rPr>
              <w:t xml:space="preserve">выбранным </w:t>
            </w:r>
            <w:r w:rsidRPr="007D68D8">
              <w:rPr>
                <w:rFonts w:ascii="Sylfaen" w:hAnsi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/>
                <w:lang w:val="en-US"/>
              </w:rPr>
              <w:t>рубли</w:t>
            </w:r>
            <w:proofErr w:type="spellEnd"/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lastRenderedPageBreak/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E60FBC" w:rsidRDefault="00774A13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RUB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մրցակցային շեմը չգերազանցող գնում (առանց հայտարարության)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0621A"/>
    <w:rsid w:val="00120948"/>
    <w:rsid w:val="001545B3"/>
    <w:rsid w:val="00184678"/>
    <w:rsid w:val="001D3306"/>
    <w:rsid w:val="001D73B4"/>
    <w:rsid w:val="0020463D"/>
    <w:rsid w:val="002076D3"/>
    <w:rsid w:val="002078BE"/>
    <w:rsid w:val="002722F5"/>
    <w:rsid w:val="00273ED5"/>
    <w:rsid w:val="002805BC"/>
    <w:rsid w:val="002C2DDF"/>
    <w:rsid w:val="002C3CD1"/>
    <w:rsid w:val="00331408"/>
    <w:rsid w:val="00363D8F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32010"/>
    <w:rsid w:val="00741B67"/>
    <w:rsid w:val="0077145A"/>
    <w:rsid w:val="00774A13"/>
    <w:rsid w:val="00790AA0"/>
    <w:rsid w:val="00797FC4"/>
    <w:rsid w:val="007D65BA"/>
    <w:rsid w:val="007D68D8"/>
    <w:rsid w:val="00850D08"/>
    <w:rsid w:val="008540C7"/>
    <w:rsid w:val="008665DF"/>
    <w:rsid w:val="00882879"/>
    <w:rsid w:val="00882FAA"/>
    <w:rsid w:val="008923CF"/>
    <w:rsid w:val="008A575D"/>
    <w:rsid w:val="008D231C"/>
    <w:rsid w:val="008E3860"/>
    <w:rsid w:val="009111EA"/>
    <w:rsid w:val="00914E5A"/>
    <w:rsid w:val="00922F39"/>
    <w:rsid w:val="009238FF"/>
    <w:rsid w:val="00972B1A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A0383"/>
    <w:rsid w:val="00CC2C08"/>
    <w:rsid w:val="00D06B27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60FBC"/>
    <w:rsid w:val="00E94EE2"/>
    <w:rsid w:val="00EA6083"/>
    <w:rsid w:val="00EB6995"/>
    <w:rsid w:val="00F02813"/>
    <w:rsid w:val="00F45ABC"/>
    <w:rsid w:val="00F61B01"/>
    <w:rsid w:val="00F7225C"/>
    <w:rsid w:val="00F763A6"/>
    <w:rsid w:val="00FA4D2B"/>
    <w:rsid w:val="00FD28CC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qFormat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722F5"/>
  </w:style>
  <w:style w:type="character" w:customStyle="1" w:styleId="Heading9Char">
    <w:name w:val="Heading 9 Char"/>
    <w:basedOn w:val="DefaultParagraphFont"/>
    <w:link w:val="Heading9"/>
    <w:uiPriority w:val="9"/>
    <w:semiHidden/>
    <w:rsid w:val="00E60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character" w:customStyle="1" w:styleId="anegp0gi0b9av8jahpyh">
    <w:name w:val="anegp0gi0b9av8jahpyh"/>
    <w:basedOn w:val="DefaultParagraphFont"/>
    <w:rsid w:val="007D68D8"/>
  </w:style>
  <w:style w:type="character" w:customStyle="1" w:styleId="ypks7kbdpwfgdykd3qb9">
    <w:name w:val="ypks7kbdpwfgdykd3qb9"/>
    <w:basedOn w:val="DefaultParagraphFont"/>
    <w:rsid w:val="00FD28CC"/>
  </w:style>
  <w:style w:type="character" w:customStyle="1" w:styleId="PlainTextChar1">
    <w:name w:val="Plain Text Char1"/>
    <w:basedOn w:val="DefaultParagraphFont"/>
    <w:uiPriority w:val="99"/>
    <w:qFormat/>
    <w:rsid w:val="00FD28CC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7E8A-3CC1-4325-B57B-F94FC704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23</cp:revision>
  <cp:lastPrinted>2021-06-02T06:18:00Z</cp:lastPrinted>
  <dcterms:created xsi:type="dcterms:W3CDTF">2024-04-28T03:10:00Z</dcterms:created>
  <dcterms:modified xsi:type="dcterms:W3CDTF">2026-04-01T10:22:00Z</dcterms:modified>
</cp:coreProperties>
</file>