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F189" w14:textId="3362FDD3" w:rsidR="00C37EB0" w:rsidRPr="00C37EB0" w:rsidRDefault="00C37EB0" w:rsidP="00C37EB0"/>
    <w:p w14:paraId="0257E7B8" w14:textId="77777777" w:rsidR="00C37EB0" w:rsidRPr="00C37EB0" w:rsidRDefault="00C37EB0" w:rsidP="00C37EB0">
      <w:pPr>
        <w:jc w:val="center"/>
        <w:rPr>
          <w:b/>
          <w:bCs/>
          <w:lang w:val="ru-RU"/>
        </w:rPr>
      </w:pPr>
      <w:r w:rsidRPr="00C37EB0">
        <w:rPr>
          <w:b/>
          <w:bCs/>
          <w:lang w:val="ru-RU"/>
        </w:rPr>
        <w:t>ОБЪЯВЛЕНИЕ</w:t>
      </w:r>
    </w:p>
    <w:p w14:paraId="0161343F" w14:textId="77777777" w:rsidR="00C37EB0" w:rsidRPr="00C37EB0" w:rsidRDefault="00C37EB0" w:rsidP="00C37EB0">
      <w:pPr>
        <w:jc w:val="center"/>
        <w:rPr>
          <w:b/>
          <w:bCs/>
          <w:lang w:val="ru-RU"/>
        </w:rPr>
      </w:pPr>
      <w:r w:rsidRPr="00C37EB0">
        <w:rPr>
          <w:b/>
          <w:bCs/>
          <w:lang w:val="ru-RU"/>
        </w:rPr>
        <w:t>о разъяснении приглашения</w:t>
      </w:r>
    </w:p>
    <w:p w14:paraId="091E036C" w14:textId="77777777" w:rsidR="00C37EB0" w:rsidRPr="00C37EB0" w:rsidRDefault="00C37EB0" w:rsidP="00C37EB0">
      <w:pPr>
        <w:jc w:val="center"/>
        <w:rPr>
          <w:lang w:val="ru-RU"/>
        </w:rPr>
      </w:pPr>
      <w:r w:rsidRPr="00C37EB0">
        <w:rPr>
          <w:lang w:val="ru-RU"/>
        </w:rPr>
        <w:t>Настоящий текст объявления утвержден решением оценочной комиссии № 2 от 10 марта 2026 года и публикуется в соответствии со статьей 29 Закона РА «О закупках».</w:t>
      </w:r>
    </w:p>
    <w:p w14:paraId="5F7608FD" w14:textId="4E63E925" w:rsidR="00C37EB0" w:rsidRPr="00C37EB0" w:rsidRDefault="00C37EB0" w:rsidP="00C37EB0">
      <w:pPr>
        <w:jc w:val="center"/>
        <w:rPr>
          <w:lang w:val="ru-RU"/>
        </w:rPr>
      </w:pPr>
      <w:r w:rsidRPr="00C37EB0">
        <w:rPr>
          <w:b/>
          <w:bCs/>
          <w:lang w:val="ru-RU"/>
        </w:rPr>
        <w:t>Код процедуры:</w:t>
      </w:r>
      <w:r w:rsidRPr="00C37EB0">
        <w:rPr>
          <w:lang w:val="ru-RU"/>
        </w:rPr>
        <w:t xml:space="preserve"> «</w:t>
      </w:r>
      <w:r>
        <w:rPr>
          <w:rFonts w:ascii="GHEA Grapalat" w:eastAsia="Times New Roman" w:hAnsi="GHEA Grapalat" w:cs="Times New Roman"/>
          <w:b/>
          <w:bCs/>
          <w:lang w:val="ru-RU" w:eastAsia="ru-RU" w:bidi="ru-RU"/>
        </w:rPr>
        <w:t>HPTH-GHAPDzB-26/</w:t>
      </w:r>
      <w:r>
        <w:rPr>
          <w:rFonts w:ascii="GHEA Grapalat" w:eastAsia="Times New Roman" w:hAnsi="GHEA Grapalat" w:cs="Times New Roman"/>
          <w:b/>
          <w:bCs/>
          <w:lang w:eastAsia="ru-RU" w:bidi="ru-RU"/>
        </w:rPr>
        <w:t>HT</w:t>
      </w:r>
      <w:r w:rsidRPr="0076788D">
        <w:rPr>
          <w:rFonts w:ascii="GHEA Grapalat" w:eastAsia="Times New Roman" w:hAnsi="GHEA Grapalat" w:cs="Times New Roman"/>
          <w:b/>
          <w:bCs/>
          <w:lang w:val="ru-RU" w:eastAsia="ru-RU" w:bidi="ru-RU"/>
        </w:rPr>
        <w:t>-1</w:t>
      </w:r>
      <w:r w:rsidRPr="00C37EB0">
        <w:rPr>
          <w:lang w:val="ru-RU"/>
        </w:rPr>
        <w:t>»</w:t>
      </w:r>
    </w:p>
    <w:p w14:paraId="4E43B8EB" w14:textId="0AA5DE6A" w:rsidR="00C37EB0" w:rsidRPr="00C37EB0" w:rsidRDefault="00C37EB0" w:rsidP="00C37EB0">
      <w:pPr>
        <w:jc w:val="center"/>
        <w:rPr>
          <w:lang w:val="ru-RU"/>
        </w:rPr>
      </w:pPr>
      <w:r w:rsidRPr="00C37EB0">
        <w:rPr>
          <w:lang w:val="ru-RU"/>
        </w:rPr>
        <w:t xml:space="preserve">Оценочная комиссия по процедуре закупки под кодом </w:t>
      </w:r>
      <w:r w:rsidR="00654133" w:rsidRPr="00654133">
        <w:rPr>
          <w:rFonts w:ascii="GHEA Grapalat" w:eastAsia="Times New Roman" w:hAnsi="GHEA Grapalat" w:cs="Times New Roman"/>
          <w:b/>
          <w:bCs/>
          <w:sz w:val="20"/>
          <w:szCs w:val="20"/>
          <w:lang w:val="ru-RU" w:eastAsia="ru-RU" w:bidi="ru-RU"/>
        </w:rPr>
        <w:t>HPTH-GHAPDzB-26/</w:t>
      </w:r>
      <w:r w:rsidR="00654133" w:rsidRPr="00654133">
        <w:rPr>
          <w:rFonts w:ascii="GHEA Grapalat" w:eastAsia="Times New Roman" w:hAnsi="GHEA Grapalat" w:cs="Times New Roman"/>
          <w:b/>
          <w:bCs/>
          <w:sz w:val="20"/>
          <w:szCs w:val="20"/>
          <w:lang w:eastAsia="ru-RU" w:bidi="ru-RU"/>
        </w:rPr>
        <w:t>HT</w:t>
      </w:r>
      <w:r w:rsidR="00654133" w:rsidRPr="00654133">
        <w:rPr>
          <w:rFonts w:ascii="GHEA Grapalat" w:eastAsia="Times New Roman" w:hAnsi="GHEA Grapalat" w:cs="Times New Roman"/>
          <w:b/>
          <w:bCs/>
          <w:sz w:val="20"/>
          <w:szCs w:val="20"/>
          <w:lang w:val="ru-RU" w:eastAsia="ru-RU" w:bidi="ru-RU"/>
        </w:rPr>
        <w:t>-1</w:t>
      </w:r>
      <w:r w:rsidRPr="00C37EB0">
        <w:rPr>
          <w:lang w:val="ru-RU"/>
        </w:rPr>
        <w:t xml:space="preserve">, организованной для нужд ГНКО «Армянский государственный экономический университет» с целью приобретения </w:t>
      </w:r>
      <w:r w:rsidR="00654133" w:rsidRPr="0076788D">
        <w:rPr>
          <w:rFonts w:ascii="GHEA Grapalat" w:eastAsia="Times New Roman" w:hAnsi="GHEA Grapalat" w:cs="Times New Roman"/>
          <w:color w:val="FF0000"/>
          <w:lang w:val="ru-RU" w:eastAsia="ru-RU" w:bidi="ru-RU"/>
        </w:rPr>
        <w:t>Компьютерное оборудование, запасные части и комплектующие</w:t>
      </w:r>
      <w:r w:rsidR="00654133">
        <w:rPr>
          <w:rFonts w:ascii="GHEA Grapalat" w:eastAsia="Times New Roman" w:hAnsi="GHEA Grapalat" w:cs="Times New Roman"/>
          <w:color w:val="FF0000"/>
          <w:lang w:val="hy-AM" w:eastAsia="ru-RU" w:bidi="ru-RU"/>
        </w:rPr>
        <w:t xml:space="preserve"> </w:t>
      </w:r>
      <w:r w:rsidRPr="00C37EB0">
        <w:rPr>
          <w:lang w:val="ru-RU"/>
        </w:rPr>
        <w:t xml:space="preserve">, ниже представляет запрос, полученный </w:t>
      </w:r>
      <w:r w:rsidRPr="00C37EB0">
        <w:rPr>
          <w:b/>
          <w:bCs/>
          <w:lang w:val="ru-RU"/>
        </w:rPr>
        <w:t>09.03.2026г.</w:t>
      </w:r>
      <w:r w:rsidRPr="00C37EB0">
        <w:rPr>
          <w:lang w:val="ru-RU"/>
        </w:rPr>
        <w:t xml:space="preserve">, и предоставленное по нему </w:t>
      </w:r>
      <w:r w:rsidRPr="00C37EB0">
        <w:rPr>
          <w:b/>
          <w:bCs/>
          <w:lang w:val="ru-RU"/>
        </w:rPr>
        <w:t>10.03.2026г.</w:t>
      </w:r>
      <w:r w:rsidRPr="00C37EB0">
        <w:rPr>
          <w:lang w:val="ru-RU"/>
        </w:rPr>
        <w:t xml:space="preserve"> разъяснение: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1"/>
        <w:gridCol w:w="5749"/>
      </w:tblGrid>
      <w:tr w:rsidR="00C37EB0" w:rsidRPr="00C37EB0" w14:paraId="49610D45" w14:textId="77777777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56CB59A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b/>
                <w:bCs/>
                <w:lang w:val="ru-RU"/>
              </w:rPr>
              <w:t>Лот 23, Вопрос № 1</w:t>
            </w:r>
          </w:p>
          <w:p w14:paraId="367F9A68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585349DE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>После установки поставщик обязан организовать профессиональное обучение как минимум 2 сотрудников заказчика для полноценной и безопасной эксплуатации устройства, основных технических настроек и оперативного управления</w:t>
            </w:r>
            <w:r w:rsidRPr="00C37EB0">
              <w:t> </w:t>
            </w:r>
            <w:r w:rsidRPr="00C37EB0">
              <w:rPr>
                <w:lang w:val="ru-RU"/>
              </w:rPr>
              <w:t>.</w:t>
            </w:r>
          </w:p>
          <w:p w14:paraId="0E45AB6F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21CE7660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>Как должен быть обоснован и доказан факт полноценной и качественной организации курса?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08A00B6F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b/>
                <w:bCs/>
                <w:lang w:val="ru-RU"/>
              </w:rPr>
              <w:t>Ответ № 1</w:t>
            </w:r>
          </w:p>
          <w:p w14:paraId="7EE34A88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70AF3FDC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>Целью требования к обучению, предусмотренного техническим заданием, является обеспечение того, чтобы сотрудники заказчика в кратчайшие сроки после установки устройства в полной мере овладели особенностями его эксплуатации, правилами безопасного использования, а также основными техническими настройками и оперативным управлением</w:t>
            </w:r>
            <w:r w:rsidRPr="00C37EB0">
              <w:t> </w:t>
            </w:r>
            <w:r w:rsidRPr="00C37EB0">
              <w:rPr>
                <w:lang w:val="ru-RU"/>
              </w:rPr>
              <w:t>.</w:t>
            </w:r>
          </w:p>
          <w:p w14:paraId="0E31CFE3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28972468" w14:textId="77777777" w:rsidR="00C37EB0" w:rsidRDefault="00C37EB0" w:rsidP="00C37EB0">
            <w:pPr>
              <w:rPr>
                <w:lang w:val="hy-AM"/>
              </w:rPr>
            </w:pPr>
            <w:r w:rsidRPr="00C37EB0">
              <w:rPr>
                <w:lang w:val="ru-RU"/>
              </w:rPr>
              <w:t>Проведение обучения подтверждается актом выполненных работ, который подписывается заказчиком и поставщиком.</w:t>
            </w:r>
            <w:r w:rsidRPr="00C37EB0">
              <w:t> </w:t>
            </w:r>
            <w:r w:rsidRPr="00C37EB0">
              <w:rPr>
                <w:lang w:val="ru-RU"/>
              </w:rPr>
              <w:t>Подписание этого документа означает, что обучение было проведено и принято заказчиком.</w:t>
            </w:r>
          </w:p>
          <w:p w14:paraId="7AAE5966" w14:textId="77777777" w:rsidR="00654133" w:rsidRDefault="00654133" w:rsidP="00C37EB0">
            <w:pPr>
              <w:rPr>
                <w:lang w:val="hy-AM"/>
              </w:rPr>
            </w:pPr>
          </w:p>
          <w:p w14:paraId="1916D85D" w14:textId="77777777" w:rsidR="00654133" w:rsidRDefault="00654133" w:rsidP="00C37EB0">
            <w:pPr>
              <w:rPr>
                <w:lang w:val="hy-AM"/>
              </w:rPr>
            </w:pPr>
          </w:p>
          <w:p w14:paraId="2800FFC6" w14:textId="77777777" w:rsidR="00654133" w:rsidRPr="00C37EB0" w:rsidRDefault="00654133" w:rsidP="00C37EB0">
            <w:pPr>
              <w:rPr>
                <w:lang w:val="hy-AM"/>
              </w:rPr>
            </w:pPr>
          </w:p>
        </w:tc>
      </w:tr>
      <w:tr w:rsidR="00C37EB0" w:rsidRPr="00C37EB0" w14:paraId="7BE3F242" w14:textId="77777777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B46EEB4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b/>
                <w:bCs/>
                <w:lang w:val="ru-RU"/>
              </w:rPr>
              <w:lastRenderedPageBreak/>
              <w:t>Лот 23, Вопрос № 2</w:t>
            </w:r>
          </w:p>
          <w:p w14:paraId="5B4032AD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48E4F508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>Тип контроллера — встроенный или внешний производительный контроллер печати.</w:t>
            </w:r>
            <w:r w:rsidRPr="00C37EB0">
              <w:t> </w:t>
            </w:r>
            <w:r w:rsidRPr="00C37EB0">
              <w:rPr>
                <w:lang w:val="ru-RU"/>
              </w:rPr>
              <w:t>Поскольку принт-контроллеры существенно различаются технически и финансово, просим уточнить необходимость.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2991A1D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b/>
                <w:bCs/>
                <w:lang w:val="ru-RU"/>
              </w:rPr>
              <w:t>Ответ № 2</w:t>
            </w:r>
          </w:p>
          <w:p w14:paraId="168B74B9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7F099ACB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>Техническим заданием предусмотрено, что устройство должно иметь контроллер, предназначенный для производительной печати (</w:t>
            </w:r>
            <w:r w:rsidRPr="00C37EB0">
              <w:t>Production</w:t>
            </w:r>
            <w:r w:rsidRPr="00C37EB0">
              <w:rPr>
                <w:lang w:val="ru-RU"/>
              </w:rPr>
              <w:t xml:space="preserve"> </w:t>
            </w:r>
            <w:r w:rsidRPr="00C37EB0">
              <w:t>Print</w:t>
            </w:r>
            <w:r w:rsidRPr="00C37EB0">
              <w:rPr>
                <w:lang w:val="ru-RU"/>
              </w:rPr>
              <w:t xml:space="preserve"> </w:t>
            </w:r>
            <w:r w:rsidRPr="00C37EB0">
              <w:t>Controller</w:t>
            </w:r>
            <w:r w:rsidRPr="00C37EB0">
              <w:rPr>
                <w:lang w:val="ru-RU"/>
              </w:rPr>
              <w:t xml:space="preserve"> / </w:t>
            </w:r>
            <w:r w:rsidRPr="00C37EB0">
              <w:t>Digital</w:t>
            </w:r>
            <w:r w:rsidRPr="00C37EB0">
              <w:rPr>
                <w:lang w:val="ru-RU"/>
              </w:rPr>
              <w:t xml:space="preserve"> </w:t>
            </w:r>
            <w:r w:rsidRPr="00C37EB0">
              <w:t>Front</w:t>
            </w:r>
            <w:r w:rsidRPr="00C37EB0">
              <w:rPr>
                <w:lang w:val="ru-RU"/>
              </w:rPr>
              <w:t xml:space="preserve"> </w:t>
            </w:r>
            <w:r w:rsidRPr="00C37EB0">
              <w:t>End</w:t>
            </w:r>
            <w:r w:rsidRPr="00C37EB0">
              <w:rPr>
                <w:lang w:val="ru-RU"/>
              </w:rPr>
              <w:t>), который может быть как встроенным (</w:t>
            </w:r>
            <w:r w:rsidRPr="00C37EB0">
              <w:t>integrated</w:t>
            </w:r>
            <w:r w:rsidRPr="00C37EB0">
              <w:rPr>
                <w:lang w:val="ru-RU"/>
              </w:rPr>
              <w:t>), так и внешним (</w:t>
            </w:r>
            <w:r w:rsidRPr="00C37EB0">
              <w:t>external</w:t>
            </w:r>
            <w:r w:rsidRPr="00C37EB0">
              <w:rPr>
                <w:lang w:val="ru-RU"/>
              </w:rPr>
              <w:t>)</w:t>
            </w:r>
            <w:r w:rsidRPr="00C37EB0">
              <w:t> </w:t>
            </w:r>
            <w:r w:rsidRPr="00C37EB0">
              <w:rPr>
                <w:lang w:val="ru-RU"/>
              </w:rPr>
              <w:t>.</w:t>
            </w:r>
          </w:p>
          <w:p w14:paraId="2E8469CA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28DB3098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>Заказчик не ограничивает техническое решение установки контроллера.</w:t>
            </w:r>
            <w:r w:rsidRPr="00C37EB0">
              <w:t> </w:t>
            </w:r>
            <w:r w:rsidRPr="00C37EB0">
              <w:rPr>
                <w:lang w:val="ru-RU"/>
              </w:rPr>
              <w:t>Для заказчика определяющим является то, чтобы предлагаемый контроллер обеспечивал функциональность, характерную для устройств производительной печати, включая высокопроизводительную обработку файлов (</w:t>
            </w:r>
            <w:r w:rsidRPr="00C37EB0">
              <w:t>RIP</w:t>
            </w:r>
            <w:r w:rsidRPr="00C37EB0">
              <w:rPr>
                <w:lang w:val="ru-RU"/>
              </w:rPr>
              <w:t xml:space="preserve"> </w:t>
            </w:r>
            <w:r w:rsidRPr="00C37EB0">
              <w:t>processing</w:t>
            </w:r>
            <w:r w:rsidRPr="00C37EB0">
              <w:rPr>
                <w:lang w:val="ru-RU"/>
              </w:rPr>
              <w:t>), инструменты управления цветом и управление процессами производительной печати.</w:t>
            </w:r>
            <w:r w:rsidRPr="00C37EB0">
              <w:t> </w:t>
            </w:r>
            <w:r w:rsidRPr="00C37EB0">
              <w:rPr>
                <w:lang w:val="ru-RU"/>
              </w:rPr>
              <w:t>Контроллер должен быть официально предусмотрен производителем для совместной работы с данным устройством.</w:t>
            </w:r>
          </w:p>
        </w:tc>
      </w:tr>
      <w:tr w:rsidR="00C37EB0" w:rsidRPr="00C37EB0" w14:paraId="7129F996" w14:textId="77777777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2D1D345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b/>
                <w:bCs/>
                <w:lang w:val="ru-RU"/>
              </w:rPr>
              <w:t>Лот 23, Вопрос № 3</w:t>
            </w:r>
          </w:p>
          <w:p w14:paraId="76A303A9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66D06580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>Ежемесячная производительность — режим непрерывной работы производительного уровня.</w:t>
            </w:r>
            <w:r w:rsidRPr="00C37EB0">
              <w:t> </w:t>
            </w:r>
            <w:r w:rsidRPr="00C37EB0">
              <w:rPr>
                <w:lang w:val="ru-RU"/>
              </w:rPr>
              <w:t>Цифровой показатель нагрузки не указан, просим уточнить, так как у разных производителей они разные.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63D2CA1F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b/>
                <w:bCs/>
                <w:lang w:val="ru-RU"/>
              </w:rPr>
              <w:t>Ответ № 3</w:t>
            </w:r>
          </w:p>
          <w:p w14:paraId="28A0F34F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41A2F4B1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>Сообщаем, что для цифровых печатных машин класса «</w:t>
            </w:r>
            <w:r w:rsidRPr="00C37EB0">
              <w:t>production</w:t>
            </w:r>
            <w:r w:rsidRPr="00C37EB0">
              <w:rPr>
                <w:lang w:val="ru-RU"/>
              </w:rPr>
              <w:t>» максимальные показатели ежемесячной производительности обычно составляют примерно 700,000 и более страниц</w:t>
            </w:r>
            <w:r w:rsidRPr="00C37EB0">
              <w:t> </w:t>
            </w:r>
            <w:r w:rsidRPr="00C37EB0">
              <w:rPr>
                <w:lang w:val="ru-RU"/>
              </w:rPr>
              <w:t>.</w:t>
            </w:r>
          </w:p>
          <w:p w14:paraId="2391FFB9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330C1262" w14:textId="77777777" w:rsidR="00C37EB0" w:rsidRPr="00C37EB0" w:rsidRDefault="00C37EB0" w:rsidP="00C37EB0">
            <w:r w:rsidRPr="00C37EB0">
              <w:rPr>
                <w:lang w:val="ru-RU"/>
              </w:rPr>
              <w:t xml:space="preserve">Интерпретируя требование «режим непрерывной работы производительного уровня», заказчик ориентировался на устройства, чей показатель </w:t>
            </w:r>
            <w:r w:rsidRPr="00C37EB0">
              <w:t>monthly</w:t>
            </w:r>
            <w:r w:rsidRPr="00C37EB0">
              <w:rPr>
                <w:lang w:val="ru-RU"/>
              </w:rPr>
              <w:t xml:space="preserve"> </w:t>
            </w:r>
            <w:r w:rsidRPr="00C37EB0">
              <w:lastRenderedPageBreak/>
              <w:t>duty</w:t>
            </w:r>
            <w:r w:rsidRPr="00C37EB0">
              <w:rPr>
                <w:lang w:val="ru-RU"/>
              </w:rPr>
              <w:t xml:space="preserve"> </w:t>
            </w:r>
            <w:r w:rsidRPr="00C37EB0">
              <w:t>cycle</w:t>
            </w:r>
            <w:r w:rsidRPr="00C37EB0">
              <w:rPr>
                <w:lang w:val="ru-RU"/>
              </w:rPr>
              <w:t xml:space="preserve"> / </w:t>
            </w:r>
            <w:r w:rsidRPr="00C37EB0">
              <w:t>peak</w:t>
            </w:r>
            <w:r w:rsidRPr="00C37EB0">
              <w:rPr>
                <w:lang w:val="ru-RU"/>
              </w:rPr>
              <w:t xml:space="preserve"> </w:t>
            </w:r>
            <w:r w:rsidRPr="00C37EB0">
              <w:t>monthly</w:t>
            </w:r>
            <w:r w:rsidRPr="00C37EB0">
              <w:rPr>
                <w:lang w:val="ru-RU"/>
              </w:rPr>
              <w:t xml:space="preserve"> </w:t>
            </w:r>
            <w:r w:rsidRPr="00C37EB0">
              <w:t>volume</w:t>
            </w:r>
            <w:r w:rsidRPr="00C37EB0">
              <w:rPr>
                <w:lang w:val="ru-RU"/>
              </w:rPr>
              <w:t xml:space="preserve"> составляет не менее 700,000 страниц в месяц.</w:t>
            </w:r>
            <w:r w:rsidRPr="00C37EB0">
              <w:t> </w:t>
            </w:r>
            <w:proofErr w:type="spellStart"/>
            <w:r w:rsidRPr="00C37EB0">
              <w:t>Данный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показатель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должен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быть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подтвержден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официальной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технической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документацией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производителя</w:t>
            </w:r>
            <w:proofErr w:type="spellEnd"/>
            <w:r w:rsidRPr="00C37EB0">
              <w:t>.</w:t>
            </w:r>
          </w:p>
        </w:tc>
      </w:tr>
      <w:tr w:rsidR="00C37EB0" w:rsidRPr="00C37EB0" w14:paraId="71BDC7E9" w14:textId="77777777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258F456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b/>
                <w:bCs/>
                <w:lang w:val="ru-RU"/>
              </w:rPr>
              <w:lastRenderedPageBreak/>
              <w:t>Лот 23, Вопрос № 4</w:t>
            </w:r>
          </w:p>
          <w:p w14:paraId="59A28964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4B7DAECC" w14:textId="77777777" w:rsidR="00C37EB0" w:rsidRPr="00C37EB0" w:rsidRDefault="00C37EB0" w:rsidP="00C37EB0">
            <w:r w:rsidRPr="00C37EB0">
              <w:rPr>
                <w:lang w:val="ru-RU"/>
              </w:rPr>
              <w:t>Поставщик обязуется обеспечить минимум 1 (один) год полного гарантийного обслуживания.</w:t>
            </w:r>
            <w:r w:rsidRPr="00C37EB0">
              <w:t> </w:t>
            </w:r>
            <w:proofErr w:type="spellStart"/>
            <w:r w:rsidRPr="00C37EB0">
              <w:t>Идет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ли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речь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об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услугах</w:t>
            </w:r>
            <w:proofErr w:type="spellEnd"/>
            <w:r w:rsidRPr="00C37EB0">
              <w:t xml:space="preserve"> Managed Printing Services / </w:t>
            </w:r>
            <w:proofErr w:type="gramStart"/>
            <w:r w:rsidRPr="00C37EB0">
              <w:t>Full Service</w:t>
            </w:r>
            <w:proofErr w:type="gramEnd"/>
            <w:r w:rsidRPr="00C37EB0">
              <w:t xml:space="preserve"> Maintenance Agreement / Full Omnium и </w:t>
            </w:r>
            <w:proofErr w:type="spellStart"/>
            <w:r w:rsidRPr="00C37EB0">
              <w:t>как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это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включить</w:t>
            </w:r>
            <w:proofErr w:type="spellEnd"/>
            <w:r w:rsidRPr="00C37EB0">
              <w:t xml:space="preserve"> в </w:t>
            </w:r>
            <w:proofErr w:type="spellStart"/>
            <w:r w:rsidRPr="00C37EB0">
              <w:t>стоимость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без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указания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объемов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печати</w:t>
            </w:r>
            <w:proofErr w:type="spellEnd"/>
            <w:r w:rsidRPr="00C37EB0"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FA7B069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b/>
                <w:bCs/>
                <w:lang w:val="ru-RU"/>
              </w:rPr>
              <w:t>Ответ № 4</w:t>
            </w:r>
          </w:p>
          <w:p w14:paraId="4F277FFD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3965F091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 xml:space="preserve">Требование относится к стандартному гарантийному обслуживанию поставляемого устройства и не касается </w:t>
            </w:r>
            <w:r w:rsidRPr="00C37EB0">
              <w:t>MPS</w:t>
            </w:r>
            <w:r w:rsidRPr="00C37EB0">
              <w:rPr>
                <w:lang w:val="ru-RU"/>
              </w:rPr>
              <w:t xml:space="preserve">, </w:t>
            </w:r>
            <w:r w:rsidRPr="00C37EB0">
              <w:t>Full</w:t>
            </w:r>
            <w:r w:rsidRPr="00C37EB0">
              <w:rPr>
                <w:lang w:val="ru-RU"/>
              </w:rPr>
              <w:t xml:space="preserve"> </w:t>
            </w:r>
            <w:r w:rsidRPr="00C37EB0">
              <w:t>Service</w:t>
            </w:r>
            <w:r w:rsidRPr="00C37EB0">
              <w:rPr>
                <w:lang w:val="ru-RU"/>
              </w:rPr>
              <w:t xml:space="preserve"> </w:t>
            </w:r>
            <w:r w:rsidRPr="00C37EB0">
              <w:t>Maintenance</w:t>
            </w:r>
            <w:r w:rsidRPr="00C37EB0">
              <w:rPr>
                <w:lang w:val="ru-RU"/>
              </w:rPr>
              <w:t xml:space="preserve"> </w:t>
            </w:r>
            <w:r w:rsidRPr="00C37EB0">
              <w:t>Agreement</w:t>
            </w:r>
            <w:r w:rsidRPr="00C37EB0">
              <w:rPr>
                <w:lang w:val="ru-RU"/>
              </w:rPr>
              <w:t xml:space="preserve"> или других услуг с оплатой за страницу</w:t>
            </w:r>
            <w:r w:rsidRPr="00C37EB0">
              <w:t> </w:t>
            </w:r>
            <w:r w:rsidRPr="00C37EB0">
              <w:rPr>
                <w:lang w:val="ru-RU"/>
              </w:rPr>
              <w:t>.</w:t>
            </w:r>
          </w:p>
          <w:p w14:paraId="16CAB47C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797AA94C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>Предметом конкурса является поставка устройства и обеспечение его эксплуатации в течение гарантийного срока, что не предполагает установления тарифа за страницу.</w:t>
            </w:r>
          </w:p>
        </w:tc>
      </w:tr>
      <w:tr w:rsidR="00C37EB0" w:rsidRPr="00C37EB0" w14:paraId="3CD71EAD" w14:textId="77777777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18AB26DD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b/>
                <w:bCs/>
                <w:lang w:val="ru-RU"/>
              </w:rPr>
              <w:t>Лот 23, Вопрос № 5</w:t>
            </w:r>
          </w:p>
          <w:p w14:paraId="78FEB171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5DEA2EFD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>Поддержка фактурной бумаги — Обязательная поддержка.</w:t>
            </w:r>
            <w:r w:rsidRPr="00C37EB0">
              <w:t> </w:t>
            </w:r>
            <w:r w:rsidRPr="00C37EB0">
              <w:rPr>
                <w:lang w:val="ru-RU"/>
              </w:rPr>
              <w:t>Просим предоставить разъяснение данного типа материала и его международное определение латиницей.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7C199253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b/>
                <w:bCs/>
                <w:lang w:val="ru-RU"/>
              </w:rPr>
              <w:t>Ответ № 5</w:t>
            </w:r>
          </w:p>
          <w:p w14:paraId="7C0F6200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br/>
            </w:r>
          </w:p>
          <w:p w14:paraId="752F90E9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>Формулировка «Поддержка фактурной бумаги» относится к печатным материалам с поверхностной структурой, которые в международной практике известны как</w:t>
            </w:r>
            <w:r w:rsidRPr="00C37EB0">
              <w:t> </w:t>
            </w:r>
            <w:r w:rsidRPr="00C37EB0">
              <w:rPr>
                <w:b/>
                <w:bCs/>
              </w:rPr>
              <w:t>Textured</w:t>
            </w:r>
            <w:r w:rsidRPr="00C37EB0">
              <w:rPr>
                <w:b/>
                <w:bCs/>
                <w:lang w:val="ru-RU"/>
              </w:rPr>
              <w:t xml:space="preserve"> </w:t>
            </w:r>
            <w:r w:rsidRPr="00C37EB0">
              <w:rPr>
                <w:b/>
                <w:bCs/>
              </w:rPr>
              <w:t>Paper</w:t>
            </w:r>
            <w:r w:rsidRPr="00C37EB0">
              <w:rPr>
                <w:b/>
                <w:bCs/>
                <w:lang w:val="ru-RU"/>
              </w:rPr>
              <w:t xml:space="preserve"> (</w:t>
            </w:r>
            <w:r w:rsidRPr="00C37EB0">
              <w:rPr>
                <w:b/>
                <w:bCs/>
              </w:rPr>
              <w:t>Textured</w:t>
            </w:r>
            <w:r w:rsidRPr="00C37EB0">
              <w:rPr>
                <w:b/>
                <w:bCs/>
                <w:lang w:val="ru-RU"/>
              </w:rPr>
              <w:t xml:space="preserve"> </w:t>
            </w:r>
            <w:r w:rsidRPr="00C37EB0">
              <w:rPr>
                <w:b/>
                <w:bCs/>
              </w:rPr>
              <w:t>Media</w:t>
            </w:r>
            <w:r w:rsidRPr="00C37EB0">
              <w:rPr>
                <w:b/>
                <w:bCs/>
                <w:lang w:val="ru-RU"/>
              </w:rPr>
              <w:t>)</w:t>
            </w:r>
            <w:r w:rsidRPr="00C37EB0">
              <w:rPr>
                <w:lang w:val="ru-RU"/>
              </w:rPr>
              <w:t>.</w:t>
            </w:r>
            <w:r w:rsidRPr="00C37EB0">
              <w:t> </w:t>
            </w:r>
            <w:r w:rsidRPr="00C37EB0">
              <w:rPr>
                <w:lang w:val="ru-RU"/>
              </w:rPr>
              <w:t>Требование означает, что устройство должно иметь техническую возможность работать с такими типами бумаги в пределах характеристик, допустимых производителем.</w:t>
            </w:r>
          </w:p>
        </w:tc>
      </w:tr>
      <w:tr w:rsidR="00C37EB0" w:rsidRPr="00C37EB0" w14:paraId="2C4FBD47" w14:textId="77777777"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23C09935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b/>
                <w:bCs/>
                <w:lang w:val="ru-RU"/>
              </w:rPr>
              <w:t>Лот 23, Вопрос № 6</w:t>
            </w:r>
          </w:p>
          <w:p w14:paraId="2EC24F3C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lastRenderedPageBreak/>
              <w:br/>
            </w:r>
          </w:p>
          <w:p w14:paraId="6F66877D" w14:textId="77777777" w:rsidR="00C37EB0" w:rsidRPr="00C37EB0" w:rsidRDefault="00C37EB0" w:rsidP="00C37EB0">
            <w:r w:rsidRPr="00C37EB0">
              <w:rPr>
                <w:lang w:val="ru-RU"/>
              </w:rPr>
              <w:t>В приложении к техническим характеристикам по 6-му лоту в колонке общего количества указано 6800 штук.</w:t>
            </w:r>
            <w:r w:rsidRPr="00C37EB0">
              <w:t> </w:t>
            </w:r>
            <w:proofErr w:type="spellStart"/>
            <w:r w:rsidRPr="00C37EB0">
              <w:t>Верно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ли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указано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это</w:t>
            </w:r>
            <w:proofErr w:type="spellEnd"/>
            <w:r w:rsidRPr="00C37EB0">
              <w:t xml:space="preserve"> </w:t>
            </w:r>
            <w:proofErr w:type="spellStart"/>
            <w:r w:rsidRPr="00C37EB0">
              <w:t>количество</w:t>
            </w:r>
            <w:proofErr w:type="spellEnd"/>
            <w:r w:rsidRPr="00C37EB0"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C7C5"/>
              <w:right w:val="nil"/>
            </w:tcBorders>
            <w:tcMar>
              <w:top w:w="240" w:type="dxa"/>
              <w:left w:w="0" w:type="dxa"/>
              <w:bottom w:w="240" w:type="dxa"/>
              <w:right w:w="0" w:type="dxa"/>
            </w:tcMar>
            <w:hideMark/>
          </w:tcPr>
          <w:p w14:paraId="4B68A651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b/>
                <w:bCs/>
                <w:lang w:val="ru-RU"/>
              </w:rPr>
              <w:lastRenderedPageBreak/>
              <w:t>Ответ № 6</w:t>
            </w:r>
          </w:p>
          <w:p w14:paraId="08C15E73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lastRenderedPageBreak/>
              <w:br/>
            </w:r>
          </w:p>
          <w:p w14:paraId="7D512044" w14:textId="77777777" w:rsidR="00C37EB0" w:rsidRPr="00C37EB0" w:rsidRDefault="00C37EB0" w:rsidP="00C37EB0">
            <w:pPr>
              <w:rPr>
                <w:lang w:val="ru-RU"/>
              </w:rPr>
            </w:pPr>
            <w:r w:rsidRPr="00C37EB0">
              <w:rPr>
                <w:lang w:val="ru-RU"/>
              </w:rPr>
              <w:t>В приложении к техническим характеристикам по 6-му лоту произошла техническая ошибка.</w:t>
            </w:r>
            <w:r w:rsidRPr="00C37EB0">
              <w:t> </w:t>
            </w:r>
            <w:r w:rsidRPr="00C37EB0">
              <w:rPr>
                <w:lang w:val="ru-RU"/>
              </w:rPr>
              <w:t xml:space="preserve">Ориентировочная стоимость 272,000 относится к 40 штукам картриджей </w:t>
            </w:r>
            <w:r w:rsidRPr="00C37EB0">
              <w:t>HP</w:t>
            </w:r>
            <w:r w:rsidRPr="00C37EB0">
              <w:rPr>
                <w:lang w:val="ru-RU"/>
              </w:rPr>
              <w:t xml:space="preserve"> 151</w:t>
            </w:r>
            <w:r w:rsidRPr="00C37EB0">
              <w:t>X</w:t>
            </w:r>
            <w:r w:rsidRPr="00C37EB0">
              <w:rPr>
                <w:lang w:val="ru-RU"/>
              </w:rPr>
              <w:t xml:space="preserve"> (</w:t>
            </w:r>
            <w:r w:rsidRPr="00C37EB0">
              <w:t>W</w:t>
            </w:r>
            <w:r w:rsidRPr="00C37EB0">
              <w:rPr>
                <w:lang w:val="ru-RU"/>
              </w:rPr>
              <w:t>1510</w:t>
            </w:r>
            <w:r w:rsidRPr="00C37EB0">
              <w:t>X</w:t>
            </w:r>
            <w:r w:rsidRPr="00C37EB0">
              <w:rPr>
                <w:lang w:val="ru-RU"/>
              </w:rPr>
              <w:t>).</w:t>
            </w:r>
            <w:r w:rsidRPr="00C37EB0">
              <w:t> </w:t>
            </w:r>
            <w:r w:rsidRPr="00C37EB0">
              <w:rPr>
                <w:lang w:val="ru-RU"/>
              </w:rPr>
              <w:t>Число 6800 является ориентировочной стоимостью за одну единицу.</w:t>
            </w:r>
          </w:p>
        </w:tc>
      </w:tr>
    </w:tbl>
    <w:p w14:paraId="0A1D07EA" w14:textId="77777777" w:rsidR="00C37EB0" w:rsidRPr="00C37EB0" w:rsidRDefault="00C37EB0" w:rsidP="00C37EB0">
      <w:r w:rsidRPr="00C37EB0">
        <w:lastRenderedPageBreak/>
        <w:pict w14:anchorId="1E1EFB36">
          <v:rect id="_x0000_i1062" style="width:0;height:1.5pt" o:hralign="center" o:hrstd="t" o:hr="t" fillcolor="#a0a0a0" stroked="f"/>
        </w:pict>
      </w:r>
    </w:p>
    <w:p w14:paraId="16C55B8D" w14:textId="1AABE39E" w:rsidR="00C37EB0" w:rsidRPr="00C37EB0" w:rsidRDefault="00C37EB0" w:rsidP="00C37EB0">
      <w:pPr>
        <w:rPr>
          <w:lang w:val="ru-RU"/>
        </w:rPr>
      </w:pPr>
      <w:r w:rsidRPr="00C37EB0">
        <w:rPr>
          <w:lang w:val="ru-RU"/>
        </w:rPr>
        <w:t>Для получения дополнительной информации, связанной с данным объявлением, вы можете обратиться к секретарю оценочной комиссии под кодом «</w:t>
      </w:r>
      <w:r w:rsidR="00654133" w:rsidRPr="00654133">
        <w:rPr>
          <w:rFonts w:ascii="GHEA Grapalat" w:eastAsia="Times New Roman" w:hAnsi="GHEA Grapalat" w:cs="Times New Roman"/>
          <w:b/>
          <w:bCs/>
          <w:sz w:val="20"/>
          <w:szCs w:val="20"/>
          <w:lang w:val="ru-RU" w:eastAsia="ru-RU" w:bidi="ru-RU"/>
        </w:rPr>
        <w:t>HPTH-GHAPDzB-26/</w:t>
      </w:r>
      <w:r w:rsidR="00654133" w:rsidRPr="00654133">
        <w:rPr>
          <w:rFonts w:ascii="GHEA Grapalat" w:eastAsia="Times New Roman" w:hAnsi="GHEA Grapalat" w:cs="Times New Roman"/>
          <w:b/>
          <w:bCs/>
          <w:sz w:val="20"/>
          <w:szCs w:val="20"/>
          <w:lang w:eastAsia="ru-RU" w:bidi="ru-RU"/>
        </w:rPr>
        <w:t>HT</w:t>
      </w:r>
      <w:r w:rsidR="00654133" w:rsidRPr="00654133">
        <w:rPr>
          <w:rFonts w:ascii="GHEA Grapalat" w:eastAsia="Times New Roman" w:hAnsi="GHEA Grapalat" w:cs="Times New Roman"/>
          <w:b/>
          <w:bCs/>
          <w:sz w:val="20"/>
          <w:szCs w:val="20"/>
          <w:lang w:val="ru-RU" w:eastAsia="ru-RU" w:bidi="ru-RU"/>
        </w:rPr>
        <w:t>-1</w:t>
      </w:r>
      <w:r w:rsidRPr="00C37EB0">
        <w:rPr>
          <w:lang w:val="ru-RU"/>
        </w:rPr>
        <w:t>» Норайру Варданяну.</w:t>
      </w:r>
    </w:p>
    <w:p w14:paraId="2C55E4E6" w14:textId="77777777" w:rsidR="00C37EB0" w:rsidRPr="00C37EB0" w:rsidRDefault="00C37EB0" w:rsidP="00C37EB0">
      <w:pPr>
        <w:rPr>
          <w:lang w:val="ru-RU"/>
        </w:rPr>
      </w:pPr>
      <w:r w:rsidRPr="00C37EB0">
        <w:rPr>
          <w:b/>
          <w:bCs/>
          <w:lang w:val="ru-RU"/>
        </w:rPr>
        <w:t>Телефон:</w:t>
      </w:r>
      <w:r w:rsidRPr="00C37EB0">
        <w:rPr>
          <w:lang w:val="ru-RU"/>
        </w:rPr>
        <w:t xml:space="preserve"> 583-483 </w:t>
      </w:r>
      <w:r w:rsidRPr="00C37EB0">
        <w:rPr>
          <w:b/>
          <w:bCs/>
          <w:lang w:val="ru-RU"/>
        </w:rPr>
        <w:t>Электронная почта:</w:t>
      </w:r>
      <w:r w:rsidRPr="00C37EB0">
        <w:rPr>
          <w:lang w:val="ru-RU"/>
        </w:rPr>
        <w:t xml:space="preserve"> </w:t>
      </w:r>
      <w:proofErr w:type="spellStart"/>
      <w:r w:rsidRPr="00C37EB0">
        <w:t>gnumner</w:t>
      </w:r>
      <w:proofErr w:type="spellEnd"/>
      <w:r w:rsidRPr="00C37EB0">
        <w:rPr>
          <w:lang w:val="ru-RU"/>
        </w:rPr>
        <w:t>.</w:t>
      </w:r>
      <w:proofErr w:type="spellStart"/>
      <w:r w:rsidRPr="00C37EB0">
        <w:t>asue</w:t>
      </w:r>
      <w:proofErr w:type="spellEnd"/>
      <w:r w:rsidRPr="00C37EB0">
        <w:rPr>
          <w:lang w:val="ru-RU"/>
        </w:rPr>
        <w:t>@</w:t>
      </w:r>
      <w:r w:rsidRPr="00C37EB0">
        <w:t>mail</w:t>
      </w:r>
      <w:r w:rsidRPr="00C37EB0">
        <w:rPr>
          <w:lang w:val="ru-RU"/>
        </w:rPr>
        <w:t>.</w:t>
      </w:r>
      <w:proofErr w:type="spellStart"/>
      <w:r w:rsidRPr="00C37EB0">
        <w:t>ru</w:t>
      </w:r>
      <w:proofErr w:type="spellEnd"/>
    </w:p>
    <w:p w14:paraId="4B908AAD" w14:textId="77777777" w:rsidR="009D6DF8" w:rsidRPr="00C37EB0" w:rsidRDefault="009D6DF8">
      <w:pPr>
        <w:rPr>
          <w:lang w:val="ru-RU"/>
        </w:rPr>
      </w:pPr>
    </w:p>
    <w:sectPr w:rsidR="009D6DF8" w:rsidRPr="00C37EB0" w:rsidSect="00C37EB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55377"/>
    <w:multiLevelType w:val="multilevel"/>
    <w:tmpl w:val="AA8A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208D0"/>
    <w:multiLevelType w:val="multilevel"/>
    <w:tmpl w:val="A396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759472">
    <w:abstractNumId w:val="1"/>
  </w:num>
  <w:num w:numId="2" w16cid:durableId="46354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80"/>
    <w:rsid w:val="00243B80"/>
    <w:rsid w:val="00654133"/>
    <w:rsid w:val="00747E30"/>
    <w:rsid w:val="009D6DF8"/>
    <w:rsid w:val="00AE4135"/>
    <w:rsid w:val="00C27A8A"/>
    <w:rsid w:val="00C37EB0"/>
    <w:rsid w:val="00D27D51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88CAB"/>
  <w15:chartTrackingRefBased/>
  <w15:docId w15:val="{C1441851-96EB-491E-8CDC-75E16301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B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B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B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B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B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2026-03-11T08:18:00Z</dcterms:created>
  <dcterms:modified xsi:type="dcterms:W3CDTF">2026-03-11T08:36:00Z</dcterms:modified>
</cp:coreProperties>
</file>