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D2B" w:rsidRPr="00A44A3A" w:rsidRDefault="00FE4CCE" w:rsidP="004F7504">
      <w:pPr>
        <w:pStyle w:val="NormalWeb"/>
        <w:spacing w:before="0" w:beforeAutospacing="0" w:after="0" w:afterAutospacing="0"/>
        <w:jc w:val="center"/>
        <w:rPr>
          <w:rFonts w:ascii="Sylfaen" w:hAnsi="Sylfaen"/>
        </w:rPr>
      </w:pPr>
      <w:proofErr w:type="spellStart"/>
      <w:r w:rsidRPr="00A44A3A">
        <w:rPr>
          <w:rFonts w:ascii="Sylfaen" w:hAnsi="Sylfaen"/>
          <w:b/>
          <w:bCs/>
        </w:rPr>
        <w:t>ՀԱՅՏԱՐԱՐՈՒԹՅՈՒՆ</w:t>
      </w:r>
      <w:proofErr w:type="spellEnd"/>
      <w:r w:rsidRPr="00A44A3A">
        <w:rPr>
          <w:rFonts w:ascii="Sylfaen" w:hAnsi="Sylfaen"/>
        </w:rPr>
        <w:br/>
      </w:r>
      <w:proofErr w:type="spellStart"/>
      <w:r w:rsidRPr="00A44A3A">
        <w:rPr>
          <w:rFonts w:ascii="Sylfaen" w:hAnsi="Sylfaen"/>
          <w:b/>
          <w:bCs/>
        </w:rPr>
        <w:t>գնման</w:t>
      </w:r>
      <w:proofErr w:type="spellEnd"/>
      <w:r w:rsidRPr="00A44A3A">
        <w:rPr>
          <w:rFonts w:ascii="Sylfaen" w:hAnsi="Sylfaen"/>
          <w:b/>
          <w:bCs/>
        </w:rPr>
        <w:t xml:space="preserve"> </w:t>
      </w:r>
      <w:proofErr w:type="spellStart"/>
      <w:r w:rsidRPr="00A44A3A">
        <w:rPr>
          <w:rFonts w:ascii="Sylfaen" w:hAnsi="Sylfaen"/>
          <w:b/>
          <w:bCs/>
        </w:rPr>
        <w:t>ընթացակարգը</w:t>
      </w:r>
      <w:proofErr w:type="spellEnd"/>
      <w:r w:rsidRPr="00A44A3A">
        <w:rPr>
          <w:rFonts w:ascii="Sylfaen" w:hAnsi="Sylfaen"/>
          <w:b/>
          <w:bCs/>
        </w:rPr>
        <w:t xml:space="preserve"> </w:t>
      </w:r>
      <w:proofErr w:type="spellStart"/>
      <w:r w:rsidRPr="00A44A3A">
        <w:rPr>
          <w:rFonts w:ascii="Sylfaen" w:hAnsi="Sylfaen"/>
          <w:b/>
          <w:bCs/>
        </w:rPr>
        <w:t>չկայացած</w:t>
      </w:r>
      <w:proofErr w:type="spellEnd"/>
      <w:r w:rsidRPr="00A44A3A">
        <w:rPr>
          <w:rFonts w:ascii="Sylfaen" w:hAnsi="Sylfaen"/>
          <w:b/>
          <w:bCs/>
        </w:rPr>
        <w:t xml:space="preserve"> </w:t>
      </w:r>
      <w:proofErr w:type="spellStart"/>
      <w:r w:rsidRPr="00A44A3A">
        <w:rPr>
          <w:rFonts w:ascii="Sylfaen" w:hAnsi="Sylfaen"/>
          <w:b/>
          <w:bCs/>
        </w:rPr>
        <w:t>հայտարարելու</w:t>
      </w:r>
      <w:proofErr w:type="spellEnd"/>
      <w:r w:rsidRPr="00A44A3A">
        <w:rPr>
          <w:rFonts w:ascii="Sylfaen" w:hAnsi="Sylfaen"/>
          <w:b/>
          <w:bCs/>
        </w:rPr>
        <w:t xml:space="preserve"> </w:t>
      </w:r>
      <w:proofErr w:type="spellStart"/>
      <w:r w:rsidRPr="00A44A3A">
        <w:rPr>
          <w:rFonts w:ascii="Sylfaen" w:hAnsi="Sylfaen"/>
          <w:b/>
          <w:bCs/>
        </w:rPr>
        <w:t>մասին</w:t>
      </w:r>
      <w:proofErr w:type="spellEnd"/>
      <w:r w:rsidRPr="00A44A3A">
        <w:rPr>
          <w:rFonts w:ascii="Sylfaen" w:hAnsi="Sylfaen"/>
        </w:rPr>
        <w:t xml:space="preserve"> </w:t>
      </w:r>
    </w:p>
    <w:p w:rsidR="008C6D2B" w:rsidRPr="00A44A3A" w:rsidRDefault="00FE4CCE" w:rsidP="004F7504">
      <w:pPr>
        <w:pStyle w:val="NormalWeb"/>
        <w:spacing w:before="0" w:beforeAutospacing="0" w:after="0" w:afterAutospacing="0"/>
        <w:jc w:val="center"/>
        <w:rPr>
          <w:rFonts w:ascii="Sylfaen" w:hAnsi="Sylfaen"/>
        </w:rPr>
      </w:pPr>
      <w:proofErr w:type="spellStart"/>
      <w:r w:rsidRPr="00A44A3A">
        <w:rPr>
          <w:rFonts w:ascii="Sylfaen" w:hAnsi="Sylfaen"/>
        </w:rPr>
        <w:t>Ընթացակարգի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ծածկագիրը</w:t>
      </w:r>
      <w:proofErr w:type="spellEnd"/>
      <w:r w:rsidRPr="00A44A3A">
        <w:rPr>
          <w:rFonts w:ascii="Sylfaen" w:hAnsi="Sylfaen"/>
        </w:rPr>
        <w:t xml:space="preserve"> ԵՊՀ-ԷԱՃԱՊՁԲ-22/249</w:t>
      </w:r>
    </w:p>
    <w:p w:rsidR="008C6D2B" w:rsidRPr="00A44A3A" w:rsidRDefault="00FE4CCE" w:rsidP="004F7504">
      <w:pPr>
        <w:pStyle w:val="NormalWeb"/>
        <w:spacing w:before="0" w:beforeAutospacing="0" w:after="0" w:afterAutospacing="0"/>
        <w:jc w:val="center"/>
        <w:rPr>
          <w:rFonts w:ascii="Sylfaen" w:hAnsi="Sylfaen"/>
        </w:rPr>
      </w:pPr>
      <w:proofErr w:type="spellStart"/>
      <w:r w:rsidRPr="00A44A3A">
        <w:rPr>
          <w:rFonts w:ascii="Sylfaen" w:hAnsi="Sylfaen"/>
        </w:rPr>
        <w:t>ԵՐԵՎԱՆԻ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ՊԵՏԱԿԱՆ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ՀԱՄԱԼՍԱՐԱՆ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ՀԻՄՆԱԴՐԱՄի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ստորև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ներկայացնում</w:t>
      </w:r>
      <w:proofErr w:type="spellEnd"/>
      <w:r w:rsidRPr="00A44A3A">
        <w:rPr>
          <w:rFonts w:ascii="Sylfaen" w:hAnsi="Sylfaen"/>
        </w:rPr>
        <w:t xml:space="preserve"> է </w:t>
      </w:r>
      <w:proofErr w:type="spellStart"/>
      <w:r w:rsidRPr="00A44A3A">
        <w:rPr>
          <w:rFonts w:ascii="Sylfaen" w:hAnsi="Sylfaen"/>
        </w:rPr>
        <w:t>իր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կարիքների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համար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proofErr w:type="gramStart"/>
      <w:r w:rsidR="00A44A3A" w:rsidRPr="00A44A3A">
        <w:rPr>
          <w:rFonts w:ascii="Sylfaen" w:hAnsi="Sylfaen"/>
        </w:rPr>
        <w:t>ինֆրակարմիր</w:t>
      </w:r>
      <w:proofErr w:type="spellEnd"/>
      <w:r w:rsidR="00A44A3A" w:rsidRPr="00A44A3A">
        <w:rPr>
          <w:rFonts w:ascii="Sylfaen" w:hAnsi="Sylfaen"/>
        </w:rPr>
        <w:t xml:space="preserve">  </w:t>
      </w:r>
      <w:proofErr w:type="spellStart"/>
      <w:r w:rsidR="00A44A3A" w:rsidRPr="00A44A3A">
        <w:rPr>
          <w:rFonts w:ascii="Sylfaen" w:hAnsi="Sylfaen"/>
        </w:rPr>
        <w:t>սպեկտրաչափ</w:t>
      </w:r>
      <w:proofErr w:type="spellEnd"/>
      <w:proofErr w:type="gramEnd"/>
      <w:r w:rsidR="00A44A3A" w:rsidRPr="00A44A3A">
        <w:rPr>
          <w:rFonts w:ascii="Sylfaen" w:hAnsi="Sylfaen"/>
          <w:sz w:val="22"/>
          <w:szCs w:val="22"/>
          <w:lang w:val="hy-AM"/>
        </w:rPr>
        <w:t xml:space="preserve"> </w:t>
      </w:r>
      <w:proofErr w:type="spellStart"/>
      <w:r w:rsidRPr="00A44A3A">
        <w:rPr>
          <w:rFonts w:ascii="Sylfaen" w:hAnsi="Sylfaen"/>
        </w:rPr>
        <w:t>ձեռքբերման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նպատակով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կազմակերպված</w:t>
      </w:r>
      <w:proofErr w:type="spellEnd"/>
      <w:r w:rsidRPr="00A44A3A">
        <w:rPr>
          <w:rFonts w:ascii="Sylfaen" w:hAnsi="Sylfaen"/>
        </w:rPr>
        <w:t xml:space="preserve"> ԵՊՀ-ԷԱՃԱՊՁԲ-22/249 </w:t>
      </w:r>
      <w:proofErr w:type="spellStart"/>
      <w:r w:rsidRPr="00A44A3A">
        <w:rPr>
          <w:rFonts w:ascii="Sylfaen" w:hAnsi="Sylfaen"/>
        </w:rPr>
        <w:t>ծածկագրով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գնման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ընթացակարգը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չկայացած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հայտարարելու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մասին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տեղեկատվությունը</w:t>
      </w:r>
      <w:proofErr w:type="spellEnd"/>
      <w:r w:rsidRPr="00A44A3A">
        <w:rPr>
          <w:rFonts w:ascii="Sylfaen" w:hAnsi="Sylfaen"/>
        </w:rPr>
        <w:t xml:space="preserve">` </w:t>
      </w:r>
    </w:p>
    <w:tbl>
      <w:tblPr>
        <w:tblW w:w="4696" w:type="pct"/>
        <w:tblInd w:w="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66"/>
        <w:gridCol w:w="5814"/>
        <w:gridCol w:w="849"/>
        <w:gridCol w:w="851"/>
        <w:gridCol w:w="993"/>
      </w:tblGrid>
      <w:tr w:rsidR="00A44A3A" w:rsidRPr="00A44A3A" w:rsidTr="00A44A3A">
        <w:trPr>
          <w:divId w:val="1699505495"/>
          <w:trHeight w:val="2443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2B" w:rsidRPr="00A44A3A" w:rsidRDefault="00FE4CCE" w:rsidP="00A44A3A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Չափաբաժնի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3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2B" w:rsidRPr="00A44A3A" w:rsidRDefault="00FE4CCE" w:rsidP="00A44A3A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Գնման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առարկայի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նկարագր</w:t>
            </w:r>
            <w:bookmarkStart w:id="0" w:name="_GoBack"/>
            <w:bookmarkEnd w:id="0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ություն</w:t>
            </w:r>
            <w:proofErr w:type="spellEnd"/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2B" w:rsidRPr="00A44A3A" w:rsidRDefault="00FE4CCE" w:rsidP="00A44A3A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Գնման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անվանումները`այդպիսիք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լինելու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դեպքում</w:t>
            </w:r>
            <w:proofErr w:type="spellEnd"/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2B" w:rsidRPr="00A44A3A" w:rsidRDefault="00FE4CCE" w:rsidP="00A44A3A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Գնման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է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հայտարարվել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համաձայն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`”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Գնումների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մասին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”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ՀՀ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օրենքի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37-րդ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հոդվածի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1-ին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մասի</w:t>
            </w:r>
            <w:proofErr w:type="spellEnd"/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C6D2B" w:rsidRPr="00A44A3A" w:rsidRDefault="00FE4CCE" w:rsidP="00A44A3A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Գնման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ընթացակարգը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չկայացած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հայտարարելու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հիմնավորման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տեղեկատվություն</w:t>
            </w:r>
            <w:proofErr w:type="spellEnd"/>
          </w:p>
        </w:tc>
      </w:tr>
      <w:tr w:rsidR="00A44A3A" w:rsidRPr="00A44A3A" w:rsidTr="00A44A3A">
        <w:trPr>
          <w:divId w:val="1699505495"/>
          <w:trHeight w:val="2812"/>
        </w:trPr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4A3A" w:rsidRPr="00A44A3A" w:rsidRDefault="00A44A3A" w:rsidP="00A44A3A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2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 w:cs="AgilentCondensedCFF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Diamond ATR տեսակի պարագայի հետ միակցված </w:t>
            </w: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>FTIR</w:t>
            </w: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 համակարգը պետք է լինի կոմպակտ և ունենա 3.8կգ-ից ցածր քաշ, իսկ չափսերը (ԼxԽxԲ) չպետք է գերազանցեն 16x31x13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սմ-ը: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>FTIR</w:t>
            </w: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 համակարգը պետք է օժտված լինի միայն համապատասխան պարագաներից մեկի միացման ժամանակ աշխատանքային փուլ դուրս գալու կառուցվածքով: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>FTIR</w:t>
            </w: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 համակարգը կարող է անջատված վիճակում երկարատև ժամանակ պահեստավորվել: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>Ինտերֆերոմետրի տեսակը -</w:t>
            </w: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 Մայկելսոնի ինտերֆերոմետր, 25 մմ, մշտական ֆիքսված, 45°, մեխանիկական ծալվացքով:Ինտերֆերոմետրը չի պահանջում որևէ կարգաբերում, չպետք է օժտված լինի դինամիկ կամ ավտոմատացված կարգաբերումամբ: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>Սպեկտրաչափի իրանը -</w:t>
            </w: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 Հերմետիկ, չորացումով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>Սպեկտրաչափի ինտերֆեյս</w:t>
            </w: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 - USB2.0</w:t>
            </w:r>
          </w:p>
          <w:p w:rsidR="00A44A3A" w:rsidRPr="00C56F54" w:rsidRDefault="00A44A3A" w:rsidP="00A44A3A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lastRenderedPageBreak/>
              <w:t>Նմուշառմանինտերֆեյս -</w:t>
            </w: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 Մոդուլար կառուցվածք՝ նմուշառման պարագաների արագ և դյուրին փոխարինման համար: DialPath (50, 100 և 200 մկմ օպտիկական ուղղու երկարությամբ), TumbIIR, Diamond ATRալմաստի պրիզմայով, թափանցման չափում, Diffuse Reflectance ցրված անդրադարձում:</w:t>
            </w:r>
          </w:p>
          <w:p w:rsidR="00A44A3A" w:rsidRPr="00C56F54" w:rsidRDefault="00A44A3A" w:rsidP="00A44A3A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>Diamond ATR տեսակի պարագան պետք է նույնպես պատրաստված լինի արտադրողի կողմից՝ 40%-ից ավելի լավ թողունակությամբ և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600</w:t>
            </w: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 սմ</w:t>
            </w:r>
            <w:r w:rsidRPr="00C56F54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-1</w:t>
            </w: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>–ում աշխատելու հնարավորությամբ: Նախատեսված է մաքուր կամ խտացրած, պինդ նյութերի, մածուկների, գելերի, հեղուկների, թույլ թթուների կամ հիմքերի համար:</w:t>
            </w:r>
          </w:p>
          <w:p w:rsidR="00A44A3A" w:rsidRPr="00C56F54" w:rsidRDefault="00A44A3A" w:rsidP="00A44A3A">
            <w:pPr>
              <w:autoSpaceDE w:val="0"/>
              <w:autoSpaceDN w:val="0"/>
              <w:adjustRightInd w:val="0"/>
              <w:jc w:val="center"/>
              <w:rPr>
                <w:rFonts w:ascii="Sylfaen" w:hAnsi="Sylfaen" w:cs="AgilentCondensedCFF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Ծրագրային ապահովում - 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Ծրագրային ապահովումը պետք է լինի մեթոդով ղեկավարվող՝ նմուշառման պարագաների և նմուշի գույնավոր պատկերների ցուցադրմամբ: Քանակական արդյունքները պետք է հնարավորություն ունենան շեմերի գունավոր ցուցադրմանը՝ նմուշի արդյունքները սահմանների տիրույթում կամ տիրույթից դուրս դյուրին տեսանելիության ապահովման համար:</w:t>
            </w:r>
          </w:p>
          <w:p w:rsidR="00A44A3A" w:rsidRPr="00C56F54" w:rsidRDefault="00A44A3A" w:rsidP="00A44A3A">
            <w:pPr>
              <w:autoSpaceDE w:val="0"/>
              <w:autoSpaceDN w:val="0"/>
              <w:adjustRightInd w:val="0"/>
              <w:jc w:val="center"/>
              <w:rPr>
                <w:rFonts w:ascii="Sylfaen" w:hAnsi="Sylfaen" w:cs="AgilentCondensedCFF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Ավտոմատացված, IQ/OQ, 21 CFR Part 11-ին համապատասխանում(օպցիոնալ), մասնագիտացված անալիզների համար նախատեսված ծրագրային ապահովում:</w:t>
            </w:r>
          </w:p>
          <w:p w:rsidR="00A44A3A" w:rsidRPr="00C56F54" w:rsidRDefault="00A44A3A" w:rsidP="00A44A3A">
            <w:pPr>
              <w:autoSpaceDE w:val="0"/>
              <w:autoSpaceDN w:val="0"/>
              <w:adjustRightInd w:val="0"/>
              <w:jc w:val="center"/>
              <w:rPr>
                <w:rFonts w:ascii="Sylfaen" w:hAnsi="Sylfaen" w:cs="AgilentCondensedCFF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Սպեկտրալ գրադարանների օգտագործման հնարավորություն և կատարված չափումների տվյալներով գրադարաններ ստեղծելու հնարավորություն:</w:t>
            </w:r>
          </w:p>
          <w:p w:rsidR="00A44A3A" w:rsidRPr="00C56F54" w:rsidRDefault="00A44A3A" w:rsidP="00A44A3A">
            <w:pPr>
              <w:autoSpaceDE w:val="0"/>
              <w:autoSpaceDN w:val="0"/>
              <w:adjustRightInd w:val="0"/>
              <w:jc w:val="center"/>
              <w:rPr>
                <w:rFonts w:ascii="Sylfaen" w:hAnsi="Sylfaen" w:cs="AgilentCondensedCFF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Ներկառուցված համընդհանուր սպեկտրալ գրադարանների առկայություն:</w:t>
            </w:r>
          </w:p>
          <w:p w:rsidR="00A44A3A" w:rsidRPr="00C56F54" w:rsidRDefault="00A44A3A" w:rsidP="00A44A3A">
            <w:pPr>
              <w:autoSpaceDE w:val="0"/>
              <w:autoSpaceDN w:val="0"/>
              <w:adjustRightInd w:val="0"/>
              <w:jc w:val="center"/>
              <w:rPr>
                <w:rFonts w:ascii="Sylfaen" w:hAnsi="Sylfaen" w:cs="AgilentCondensedCFF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Ծրագրային ապահովումը պետք է ներառի միացվող պարագաների ճանաչում՝ մեթոդում նշված և օգտագործվող պարագայի հետ համապատասխանելիության հաստատման համար` մեթոդով չափումը շարունակելու համար:</w:t>
            </w:r>
          </w:p>
          <w:p w:rsidR="00A44A3A" w:rsidRPr="00C56F54" w:rsidRDefault="00A44A3A" w:rsidP="00A44A3A">
            <w:pPr>
              <w:autoSpaceDE w:val="0"/>
              <w:autoSpaceDN w:val="0"/>
              <w:adjustRightInd w:val="0"/>
              <w:jc w:val="center"/>
              <w:rPr>
                <w:rFonts w:ascii="Sylfaen" w:hAnsi="Sylfaen" w:cs="AgilentCondensedCFF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Ծրագրային ապահովումը պետք է ունենա ավտոմատացված կերպով զեկույցի արտահանում՝  արդյունաբերական ստանդարտով, PDF ձևաչափի:</w:t>
            </w:r>
          </w:p>
          <w:p w:rsidR="00A44A3A" w:rsidRPr="00C56F54" w:rsidRDefault="00A44A3A" w:rsidP="00A44A3A">
            <w:pPr>
              <w:autoSpaceDE w:val="0"/>
              <w:autoSpaceDN w:val="0"/>
              <w:adjustRightInd w:val="0"/>
              <w:jc w:val="center"/>
              <w:rPr>
                <w:rFonts w:ascii="Sylfaen" w:hAnsi="Sylfaen" w:cs="AgilentCondensedCFF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Օպտիկական ուղղու էֆֆեկտիվ երկարությունները պետք է լինեն՝</w:t>
            </w:r>
          </w:p>
          <w:p w:rsidR="00A44A3A" w:rsidRPr="00C56F54" w:rsidRDefault="00A44A3A" w:rsidP="00A44A3A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1.1 մկմ 4,000 </w:t>
            </w:r>
            <w:r w:rsidRPr="00C56F5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սմ</w:t>
            </w:r>
            <w:r w:rsidRPr="00C56F54">
              <w:rPr>
                <w:rFonts w:ascii="Sylfaen" w:hAnsi="Sylfaen"/>
                <w:color w:val="000000"/>
                <w:sz w:val="20"/>
                <w:szCs w:val="20"/>
                <w:vertAlign w:val="superscript"/>
                <w:lang w:val="hy-AM"/>
              </w:rPr>
              <w:t>-1</w:t>
            </w:r>
            <w:r w:rsidRPr="00C56F5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-ում</w:t>
            </w:r>
          </w:p>
          <w:p w:rsidR="00A44A3A" w:rsidRPr="00C56F54" w:rsidRDefault="00A44A3A" w:rsidP="00A44A3A">
            <w:pPr>
              <w:autoSpaceDE w:val="0"/>
              <w:autoSpaceDN w:val="0"/>
              <w:adjustRightInd w:val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2.6 մկմ 1,700 </w:t>
            </w:r>
            <w:r w:rsidRPr="00C56F5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см</w:t>
            </w:r>
            <w:r w:rsidRPr="00C56F54">
              <w:rPr>
                <w:rFonts w:ascii="Sylfaen" w:hAnsi="Sylfaen"/>
                <w:color w:val="000000"/>
                <w:sz w:val="20"/>
                <w:szCs w:val="20"/>
                <w:vertAlign w:val="superscript"/>
                <w:lang w:val="hy-AM"/>
              </w:rPr>
              <w:t>-1</w:t>
            </w:r>
            <w:r w:rsidRPr="00C56F5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-ում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7.3 մկմ 600 </w:t>
            </w:r>
            <w:r w:rsidRPr="00C56F5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см</w:t>
            </w:r>
            <w:r w:rsidRPr="00C56F54">
              <w:rPr>
                <w:rFonts w:ascii="Sylfaen" w:hAnsi="Sylfaen"/>
                <w:color w:val="000000"/>
                <w:sz w:val="20"/>
                <w:szCs w:val="20"/>
                <w:vertAlign w:val="superscript"/>
                <w:lang w:val="hy-AM"/>
              </w:rPr>
              <w:t>-1</w:t>
            </w:r>
            <w:r w:rsidRPr="00C56F54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-ում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Հզորություն - 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110-240 Վ, 60/50 Հց</w:t>
            </w:r>
          </w:p>
          <w:p w:rsidR="00A44A3A" w:rsidRPr="00C56F54" w:rsidRDefault="00A44A3A" w:rsidP="00A44A3A">
            <w:pPr>
              <w:autoSpaceDE w:val="0"/>
              <w:autoSpaceDN w:val="0"/>
              <w:adjustRightInd w:val="0"/>
              <w:jc w:val="center"/>
              <w:rPr>
                <w:rFonts w:ascii="Sylfaen" w:hAnsi="Sylfaen" w:cs="AgilentCondensedCFF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>Սպեկտրալ տիրույթը</w:t>
            </w: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 xml:space="preserve"> /սմ</w:t>
            </w:r>
            <w:r w:rsidRPr="00C56F54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-1</w:t>
            </w:r>
            <w:r w:rsidRPr="00C56F54">
              <w:rPr>
                <w:rFonts w:ascii="Sylfaen" w:hAnsi="Sylfaen"/>
                <w:sz w:val="20"/>
                <w:szCs w:val="20"/>
                <w:lang w:val="hy-AM"/>
              </w:rPr>
              <w:t>/ ստանդարտ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 xml:space="preserve"> ZnSe 5300–600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Սպեկտրալթույլատրելիություն - 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&lt; 2 սմ</w:t>
            </w:r>
            <w:r w:rsidRPr="00C56F54">
              <w:rPr>
                <w:rFonts w:ascii="Sylfaen" w:hAnsi="Sylfaen" w:cs="AgilentCondensedCFF"/>
                <w:sz w:val="20"/>
                <w:szCs w:val="20"/>
                <w:vertAlign w:val="superscript"/>
                <w:lang w:val="hy-AM"/>
              </w:rPr>
              <w:t>-1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 w:cs="AgilentCondensedCFF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Ազդանշան- աղմուկ հարաբերությունը - 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30,000:1 Բացփունջ, 1ր, 4սմ</w:t>
            </w:r>
            <w:r w:rsidRPr="00C56F54">
              <w:rPr>
                <w:rFonts w:ascii="Sylfaen" w:hAnsi="Sylfaen" w:cs="AgilentCondensedCFF"/>
                <w:sz w:val="20"/>
                <w:szCs w:val="20"/>
                <w:vertAlign w:val="superscript"/>
                <w:lang w:val="hy-AM"/>
              </w:rPr>
              <w:t xml:space="preserve">-1 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թույլատրելություն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15,000:1 DiamondATR, 1ր, 4սմ</w:t>
            </w:r>
            <w:r w:rsidRPr="00C56F54">
              <w:rPr>
                <w:rFonts w:ascii="Sylfaen" w:hAnsi="Sylfaen" w:cs="AgilentCondensedCFF"/>
                <w:sz w:val="20"/>
                <w:szCs w:val="20"/>
                <w:vertAlign w:val="superscript"/>
                <w:lang w:val="hy-AM"/>
              </w:rPr>
              <w:t xml:space="preserve">-1 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թույլատրելություն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>Ալիքային թվի Ճշտությունը -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0,05 սմ</w:t>
            </w:r>
            <w:r w:rsidRPr="00C56F54">
              <w:rPr>
                <w:rFonts w:ascii="Sylfaen" w:hAnsi="Sylfaen" w:cs="AgilentCondensedCFF"/>
                <w:sz w:val="20"/>
                <w:szCs w:val="20"/>
                <w:vertAlign w:val="superscript"/>
                <w:lang w:val="hy-AM"/>
              </w:rPr>
              <w:t>-1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 xml:space="preserve">  - 2 200 սմ</w:t>
            </w:r>
            <w:r w:rsidRPr="00C56F54">
              <w:rPr>
                <w:rFonts w:ascii="Sylfaen" w:hAnsi="Sylfaen" w:cs="AgilentCondensedCFF"/>
                <w:sz w:val="20"/>
                <w:szCs w:val="20"/>
                <w:vertAlign w:val="superscript"/>
                <w:lang w:val="hy-AM"/>
              </w:rPr>
              <w:t>-1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 xml:space="preserve"> –ում (NIST 1921 ստանդարտ</w:t>
            </w:r>
          </w:p>
          <w:p w:rsidR="00A44A3A" w:rsidRPr="00A44A3A" w:rsidRDefault="00A44A3A" w:rsidP="00A44A3A">
            <w:pPr>
              <w:pStyle w:val="NoSpacing"/>
              <w:jc w:val="center"/>
              <w:rPr>
                <w:rFonts w:ascii="Sylfaen" w:hAnsi="Sylfaen" w:cs="AgilentCondensedCFF"/>
                <w:sz w:val="20"/>
                <w:szCs w:val="20"/>
                <w:lang w:val="hy-AM"/>
              </w:rPr>
            </w:pPr>
            <w:r w:rsidRPr="00C56F54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Ալիքային թվի վերարտադրելիությունը - 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0,005 սմ</w:t>
            </w:r>
            <w:r w:rsidRPr="00C56F54">
              <w:rPr>
                <w:rFonts w:ascii="Sylfaen" w:hAnsi="Sylfaen" w:cs="AgilentCondensedCFF"/>
                <w:sz w:val="20"/>
                <w:szCs w:val="20"/>
                <w:vertAlign w:val="superscript"/>
                <w:lang w:val="hy-AM"/>
              </w:rPr>
              <w:t>-1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>- 2 200 սմ</w:t>
            </w:r>
            <w:r w:rsidRPr="00C56F54">
              <w:rPr>
                <w:rFonts w:ascii="Sylfaen" w:hAnsi="Sylfaen" w:cs="AgilentCondensedCFF"/>
                <w:sz w:val="20"/>
                <w:szCs w:val="20"/>
                <w:vertAlign w:val="superscript"/>
                <w:lang w:val="hy-AM"/>
              </w:rPr>
              <w:t>-1</w:t>
            </w:r>
            <w:r w:rsidRPr="00C56F54">
              <w:rPr>
                <w:rFonts w:ascii="Sylfaen" w:hAnsi="Sylfaen" w:cs="AgilentCondensedCFF"/>
                <w:sz w:val="20"/>
                <w:szCs w:val="20"/>
                <w:lang w:val="hy-AM"/>
              </w:rPr>
              <w:t xml:space="preserve"> –ում(NIST 1921 ստանդարտ)</w:t>
            </w:r>
          </w:p>
          <w:p w:rsidR="00A44A3A" w:rsidRPr="00A44A3A" w:rsidRDefault="00A44A3A" w:rsidP="00A44A3A">
            <w:pPr>
              <w:pStyle w:val="NoSpacing"/>
              <w:jc w:val="center"/>
              <w:rPr>
                <w:rFonts w:ascii="Sylfaen" w:hAnsi="Sylfaen" w:cs="AgilentCondensedCFF"/>
                <w:sz w:val="20"/>
                <w:szCs w:val="20"/>
                <w:lang w:val="hy-AM"/>
              </w:rPr>
            </w:pPr>
            <w:r>
              <w:rPr>
                <w:rFonts w:ascii="Sylfaen" w:hAnsi="Sylfaen" w:cs="AgilentCondensedCFF"/>
                <w:sz w:val="20"/>
                <w:szCs w:val="20"/>
                <w:lang w:val="hy-AM"/>
              </w:rPr>
              <w:t>Ապրանքի մատակարարման ժամանակ ներկայացնել արտադրող ընկերության հավաստագիրը՝ մատակարարին ավտորիզացիա տրամադրելու մասին:</w:t>
            </w:r>
          </w:p>
          <w:p w:rsidR="00A44A3A" w:rsidRPr="00C56F54" w:rsidRDefault="00A44A3A" w:rsidP="00A44A3A">
            <w:pPr>
              <w:pStyle w:val="NoSpacing"/>
              <w:jc w:val="center"/>
              <w:rPr>
                <w:rFonts w:ascii="Sylfaen" w:hAnsi="Sylfaen" w:cs="AgilentCondensedCFF"/>
                <w:sz w:val="20"/>
                <w:szCs w:val="20"/>
              </w:rPr>
            </w:pPr>
            <w:proofErr w:type="spellStart"/>
            <w:r w:rsidRPr="00C56F54">
              <w:rPr>
                <w:rFonts w:ascii="Sylfaen" w:hAnsi="Sylfaen"/>
                <w:b/>
                <w:sz w:val="20"/>
                <w:szCs w:val="20"/>
              </w:rPr>
              <w:t>Երաշխիք</w:t>
            </w:r>
            <w:proofErr w:type="spellEnd"/>
            <w:r w:rsidRPr="00C56F54">
              <w:rPr>
                <w:rFonts w:ascii="Sylfaen" w:hAnsi="Sylfaen"/>
                <w:b/>
                <w:sz w:val="20"/>
                <w:szCs w:val="20"/>
              </w:rPr>
              <w:t xml:space="preserve"> - </w:t>
            </w:r>
            <w:r w:rsidRPr="00C56F54">
              <w:rPr>
                <w:rFonts w:ascii="Sylfaen" w:hAnsi="Sylfaen"/>
                <w:sz w:val="20"/>
                <w:szCs w:val="20"/>
              </w:rPr>
              <w:t xml:space="preserve">1 </w:t>
            </w:r>
            <w:proofErr w:type="spellStart"/>
            <w:r w:rsidRPr="00C56F54">
              <w:rPr>
                <w:rFonts w:ascii="Sylfaen" w:hAnsi="Sylfaen"/>
                <w:sz w:val="20"/>
                <w:szCs w:val="20"/>
              </w:rPr>
              <w:t>տարի</w:t>
            </w:r>
            <w:proofErr w:type="spellEnd"/>
          </w:p>
        </w:tc>
        <w:tc>
          <w:tcPr>
            <w:tcW w:w="4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4A3A" w:rsidRPr="00A44A3A" w:rsidRDefault="00A44A3A" w:rsidP="00A44A3A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lastRenderedPageBreak/>
              <w:t>Կոնցեռն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Էներգոմաշ</w:t>
            </w:r>
            <w:proofErr w:type="spellEnd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ՓԲԸ</w:t>
            </w:r>
            <w:proofErr w:type="spellEnd"/>
          </w:p>
        </w:tc>
        <w:tc>
          <w:tcPr>
            <w:tcW w:w="4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44A3A" w:rsidRPr="00A44A3A" w:rsidRDefault="00A44A3A" w:rsidP="00A44A3A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 xml:space="preserve">1-րդ </w:t>
            </w:r>
            <w:proofErr w:type="spellStart"/>
            <w:r w:rsidRPr="00A44A3A">
              <w:rPr>
                <w:rFonts w:ascii="Sylfaen" w:eastAsia="Times New Roman" w:hAnsi="Sylfaen"/>
                <w:b/>
                <w:bCs/>
                <w:sz w:val="18"/>
                <w:szCs w:val="18"/>
              </w:rPr>
              <w:t>կետի</w:t>
            </w:r>
            <w:proofErr w:type="spellEnd"/>
          </w:p>
        </w:tc>
        <w:tc>
          <w:tcPr>
            <w:tcW w:w="5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4A3A" w:rsidRPr="00A44A3A" w:rsidRDefault="00A44A3A" w:rsidP="00A44A3A">
            <w:pPr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</w:rPr>
            </w:pPr>
          </w:p>
        </w:tc>
      </w:tr>
    </w:tbl>
    <w:p w:rsidR="008C6D2B" w:rsidRPr="00A44A3A" w:rsidRDefault="00FE4CCE">
      <w:pPr>
        <w:pStyle w:val="NormalWeb"/>
        <w:jc w:val="both"/>
        <w:rPr>
          <w:rFonts w:ascii="Sylfaen" w:hAnsi="Sylfaen"/>
        </w:rPr>
      </w:pPr>
      <w:proofErr w:type="spellStart"/>
      <w:r w:rsidRPr="00A44A3A">
        <w:rPr>
          <w:rFonts w:ascii="Sylfaen" w:hAnsi="Sylfaen"/>
        </w:rPr>
        <w:lastRenderedPageBreak/>
        <w:t>Սույն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հայտարարության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հետ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կապված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լրացուցիչ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տեղեկություններ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ստանալու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համար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կարող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եք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դիմել</w:t>
      </w:r>
      <w:proofErr w:type="spellEnd"/>
      <w:r w:rsidRPr="00A44A3A">
        <w:rPr>
          <w:rFonts w:ascii="Sylfaen" w:hAnsi="Sylfaen"/>
        </w:rPr>
        <w:t xml:space="preserve"> ԵՊՀ-ԷԱՃԱՊՁԲ-22/249 </w:t>
      </w:r>
      <w:proofErr w:type="spellStart"/>
      <w:r w:rsidRPr="00A44A3A">
        <w:rPr>
          <w:rFonts w:ascii="Sylfaen" w:hAnsi="Sylfaen"/>
        </w:rPr>
        <w:t>ծածկագրով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գնումների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համակարգող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Մկրտչյան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Արմինեին</w:t>
      </w:r>
      <w:proofErr w:type="spellEnd"/>
      <w:r w:rsidRPr="00A44A3A">
        <w:rPr>
          <w:rFonts w:ascii="Sylfaen" w:hAnsi="Sylfaen"/>
        </w:rPr>
        <w:t>:</w:t>
      </w:r>
    </w:p>
    <w:p w:rsidR="008C6D2B" w:rsidRPr="00A44A3A" w:rsidRDefault="00FE4CCE">
      <w:pPr>
        <w:pStyle w:val="NormalWeb"/>
        <w:divId w:val="1654141463"/>
        <w:rPr>
          <w:rFonts w:ascii="Sylfaen" w:hAnsi="Sylfaen"/>
        </w:rPr>
      </w:pPr>
      <w:proofErr w:type="spellStart"/>
      <w:r w:rsidRPr="00A44A3A">
        <w:rPr>
          <w:rFonts w:ascii="Sylfaen" w:hAnsi="Sylfaen"/>
        </w:rPr>
        <w:t>Հեռախոս</w:t>
      </w:r>
      <w:proofErr w:type="spellEnd"/>
      <w:r w:rsidRPr="00A44A3A">
        <w:rPr>
          <w:rFonts w:ascii="Sylfaen" w:hAnsi="Sylfaen"/>
        </w:rPr>
        <w:t xml:space="preserve">՝ </w:t>
      </w:r>
    </w:p>
    <w:p w:rsidR="008C6D2B" w:rsidRPr="00A44A3A" w:rsidRDefault="00FE4CCE">
      <w:pPr>
        <w:pStyle w:val="NormalWeb"/>
        <w:divId w:val="1135413011"/>
        <w:rPr>
          <w:rFonts w:ascii="Sylfaen" w:hAnsi="Sylfaen"/>
        </w:rPr>
      </w:pPr>
      <w:proofErr w:type="spellStart"/>
      <w:r w:rsidRPr="00A44A3A">
        <w:rPr>
          <w:rFonts w:ascii="Sylfaen" w:hAnsi="Sylfaen"/>
        </w:rPr>
        <w:t>Էլեկոտրանային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փոստ</w:t>
      </w:r>
      <w:proofErr w:type="spellEnd"/>
      <w:r w:rsidRPr="00A44A3A">
        <w:rPr>
          <w:rFonts w:ascii="Sylfaen" w:hAnsi="Sylfaen"/>
        </w:rPr>
        <w:t xml:space="preserve">՝ gnumner.eph@mail.ru </w:t>
      </w:r>
    </w:p>
    <w:p w:rsidR="00FE4CCE" w:rsidRPr="00A44A3A" w:rsidRDefault="00FE4CCE">
      <w:pPr>
        <w:pStyle w:val="NormalWeb"/>
        <w:divId w:val="2019846832"/>
        <w:rPr>
          <w:rFonts w:ascii="Sylfaen" w:hAnsi="Sylfaen"/>
        </w:rPr>
      </w:pPr>
      <w:proofErr w:type="spellStart"/>
      <w:r w:rsidRPr="00A44A3A">
        <w:rPr>
          <w:rFonts w:ascii="Sylfaen" w:hAnsi="Sylfaen"/>
        </w:rPr>
        <w:t>Պատվիրատու</w:t>
      </w:r>
      <w:proofErr w:type="spellEnd"/>
      <w:r w:rsidRPr="00A44A3A">
        <w:rPr>
          <w:rFonts w:ascii="Sylfaen" w:hAnsi="Sylfaen"/>
        </w:rPr>
        <w:t xml:space="preserve">` </w:t>
      </w:r>
      <w:proofErr w:type="spellStart"/>
      <w:r w:rsidRPr="00A44A3A">
        <w:rPr>
          <w:rFonts w:ascii="Sylfaen" w:hAnsi="Sylfaen"/>
        </w:rPr>
        <w:t>ԵՐԵՎԱՆԻ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ՊԵՏԱԿԱՆ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ՀԱՄԱԼՍԱՐԱՆ</w:t>
      </w:r>
      <w:proofErr w:type="spellEnd"/>
      <w:r w:rsidRPr="00A44A3A">
        <w:rPr>
          <w:rFonts w:ascii="Sylfaen" w:hAnsi="Sylfaen"/>
        </w:rPr>
        <w:t xml:space="preserve"> </w:t>
      </w:r>
      <w:proofErr w:type="spellStart"/>
      <w:r w:rsidRPr="00A44A3A">
        <w:rPr>
          <w:rFonts w:ascii="Sylfaen" w:hAnsi="Sylfaen"/>
        </w:rPr>
        <w:t>ՀԻՄՆԱԴՐԱՄ</w:t>
      </w:r>
      <w:proofErr w:type="spellEnd"/>
    </w:p>
    <w:sectPr w:rsidR="00FE4CCE" w:rsidRPr="00A44A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gilentCondensedCF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oNotHyphenateCaps/>
  <w:drawingGridHorizontalSpacing w:val="187"/>
  <w:drawingGridVerticalSpacing w:val="187"/>
  <w:characterSpacingControl w:val="doNotCompress"/>
  <w:savePreviewPicture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9763C"/>
    <w:rsid w:val="0049763C"/>
    <w:rsid w:val="004F7504"/>
    <w:rsid w:val="008C6D2B"/>
    <w:rsid w:val="00A44A3A"/>
    <w:rsid w:val="00FE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A44A3A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A44A3A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A44A3A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A44A3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41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$this-&gt;title</vt:lpstr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creator>User</dc:creator>
  <cp:lastModifiedBy>User</cp:lastModifiedBy>
  <cp:revision>4</cp:revision>
  <dcterms:created xsi:type="dcterms:W3CDTF">2022-10-13T12:02:00Z</dcterms:created>
  <dcterms:modified xsi:type="dcterms:W3CDTF">2022-10-13T12:24:00Z</dcterms:modified>
</cp:coreProperties>
</file>