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>
      <w:pPr>
        <w:spacing w:before="0" w:after="0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/>
          <w:b/>
          <w:szCs w:val="24"/>
          <w:lang w:val="af-ZA"/>
        </w:rPr>
        <w:t>ОБЪЯВЛЕНИЕ</w:t>
      </w:r>
    </w:p>
    <w:p>
      <w:pPr>
        <w:spacing w:before="0" w:after="0"/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/>
          <w:b/>
          <w:szCs w:val="24"/>
          <w:lang w:val="af-ZA"/>
        </w:rPr>
        <w:t>о заключенном договоре</w:t>
      </w:r>
    </w:p>
    <w:p>
      <w:pPr>
        <w:spacing w:before="0" w:after="0"/>
        <w:jc w:val="center"/>
        <w:rPr>
          <w:rFonts w:ascii="GHEA Grapalat" w:hAnsi="GHEA Grapalat" w:cs="Sylfaen"/>
          <w:b/>
          <w:szCs w:val="24"/>
          <w:lang w:val="af-ZA"/>
        </w:rPr>
      </w:pPr>
    </w:p>
    <w:p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Վերադաս պատվիրատուն՝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աշխատանքի և սոցիալական հարցերի նախարարությունը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ք.Երևան, Կառավարական տուն 3 հասցեում,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 ենթակայությանը հանձնված պետական ոչ առևտրային կազմակերպությունների կարիքների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ծխախոտի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 ԱՍՀՆ-ՊՈԱԿ-ԳՀԱՊՁԲ-23/9-1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Вышестоящий заказчик, Министерство труда и социальных дел Республики Армения, расположенный по адресу: Дом правительства, 3, Ереван, представляет следующие документы в результате закупочной процедуры с кодом ԱՍՀՆ-ՊՈԱԿ-ԳՀԱՊՁԲ-23/9-1, организованной для закупка сигарет для нужд государственных некоммерческих организаций.Сведения о заключенном договоре: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265"/>
        <w:gridCol w:w="25"/>
        <w:gridCol w:w="965"/>
        <w:gridCol w:w="10"/>
        <w:gridCol w:w="636"/>
        <w:gridCol w:w="159"/>
        <w:gridCol w:w="49"/>
        <w:gridCol w:w="603"/>
        <w:gridCol w:w="8"/>
        <w:gridCol w:w="170"/>
        <w:gridCol w:w="693"/>
        <w:gridCol w:w="399"/>
        <w:gridCol w:w="14"/>
        <w:gridCol w:w="519"/>
        <w:gridCol w:w="36"/>
        <w:gridCol w:w="168"/>
        <w:gridCol w:w="187"/>
        <w:gridCol w:w="154"/>
        <w:gridCol w:w="273"/>
        <w:gridCol w:w="459"/>
        <w:gridCol w:w="39"/>
        <w:gridCol w:w="844"/>
        <w:gridCol w:w="26"/>
        <w:gridCol w:w="186"/>
        <w:gridCol w:w="35"/>
        <w:gridCol w:w="220"/>
        <w:gridCol w:w="1815"/>
      </w:tblGrid>
      <w:tr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0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Предмет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закупки</w:t>
            </w:r>
            <w:proofErr w:type="spellEnd"/>
          </w:p>
        </w:tc>
      </w:tr>
      <w:tr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538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  <w:p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единица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измерения</w:t>
            </w:r>
            <w:proofErr w:type="spellEnd"/>
          </w:p>
        </w:tc>
        <w:tc>
          <w:tcPr>
            <w:tcW w:w="1457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количество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</w:p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сметная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краткое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описание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техническая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характеристика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краткое описание (техническая характеристика), предусмотренное по договору</w:t>
            </w:r>
          </w:p>
        </w:tc>
      </w:tr>
      <w:tr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538" w:type="dxa"/>
            <w:gridSpan w:val="4"/>
            <w:vMerge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46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общее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/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РА/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  <w:p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по имеющимся финансовым средствам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  <w:p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af-ZA"/>
              </w:rPr>
              <w:t>15991310/505</w:t>
            </w:r>
          </w:p>
          <w:p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af-ZA"/>
              </w:rPr>
              <w:t>Ծխախոտ 1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</w:p>
          <w:p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Сигареты</w:t>
            </w:r>
            <w:r>
              <w:rPr>
                <w:rFonts w:ascii="GHEA Grapalat" w:hAnsi="GHEA Grapalat"/>
                <w:sz w:val="16"/>
                <w:szCs w:val="16"/>
              </w:rPr>
              <w:t xml:space="preserve"> 1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16790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6883900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Ծխախոտ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ֆիլտրով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ծխախոտը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ֆիլտրից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անբաժան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մեկ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միասնական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գլանակով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խոնավությունը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՝ 13 %-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ից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ավելի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փոշու</w:t>
            </w:r>
            <w:proofErr w:type="spellEnd"/>
            <w:proofErr w:type="gram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առկայությունը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՝ 3,5 %-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ից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ավելի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նիկոտինի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խեժի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պարունակությունը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սիգարետի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ծխում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նիկոտինը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ավելի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քան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1,3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մգ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սիգ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խեժը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ավելի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քան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16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մգ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սիգ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։</w:t>
            </w:r>
          </w:p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(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տուփ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փակ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փաթեթավորմամբ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տուփի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մեջ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առնվազն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20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գլանակ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/: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Անվտանգությունը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մակնշումը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` ՀՀ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կառավարության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2005թ.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ապրիլի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28-ի N 540-Ն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որոշմամբ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"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Ծխախոտի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վերաբերյալ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կանոնակարգի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":</w:t>
            </w:r>
          </w:p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Сигарета с фильтром, сигарета, неотделимая от фильтра с одним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lastRenderedPageBreak/>
              <w:t>цилиндром, влажность не более 13%, наличие пыли не более 3,5%, содержание никотиновых смол в сигаретном дыме: никотин не более 1,3 мг / бел, смола не более чем 16 мг / белый.</w:t>
            </w:r>
          </w:p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(Каждая коробка в закрытой упаковке, не менее 20 баллонов в коробке).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lastRenderedPageBreak/>
              <w:t>Ծխախոտ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ֆիլտրով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ծխախոտը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ֆիլտրից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անբաժան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մեկ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միասնական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գլանակով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խոնավությունը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13 %-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ից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ավելի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, 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փոշու</w:t>
            </w:r>
            <w:proofErr w:type="spellEnd"/>
            <w:proofErr w:type="gram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առկայությունը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3,5 %-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ից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ավելի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նիկոտինի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խեժի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պարունակությունը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սիգարետի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ծխում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նիկոտինը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ավելի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քան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1,3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մգ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սիգ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խեժը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ավելի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քան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16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մգ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սիգ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։</w:t>
            </w:r>
          </w:p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(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տուփ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փակ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փաթեթավորմամբ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տուփի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մեջ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առնվազն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20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գլանակ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/: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Անվտանգությունը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մակնշումը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` 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ՀՀ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կառավարության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2005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թ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ապրիլի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28-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N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540-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որոշմամբ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"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Ծխախոտի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վերաբերյալ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կանոնակարգի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":</w:t>
            </w:r>
          </w:p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Сигарета с фильтром, сигарета, неотделимая от фильтра с одним 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lastRenderedPageBreak/>
              <w:t>цилиндром, влажность не более 13%, наличие пыли не более 3,5%, содержание никотиновых смол в сигаретном дыме: никотин не более 1,3 мг / бел, смола не более чем 16 мг / белый.</w:t>
            </w:r>
          </w:p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(Каждая коробка в закрытой упаковке, не менее 20 баллонов в коробке).</w:t>
            </w:r>
          </w:p>
        </w:tc>
      </w:tr>
      <w:tr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15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af-ZA"/>
              </w:rPr>
              <w:t>15991310/506</w:t>
            </w:r>
          </w:p>
          <w:p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af-ZA"/>
              </w:rPr>
              <w:t>Ծխախոտ 2</w:t>
            </w:r>
          </w:p>
          <w:p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af-ZA"/>
              </w:rPr>
              <w:t>Сигареты 2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6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38325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16901325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Ծխախոտ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ֆիլտրով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ծխախոտը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ֆիլտրից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անբաժան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մեկ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միասնական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գլանակով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խոնավությունը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՝ 13 %-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ից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ավելի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փոշու</w:t>
            </w:r>
            <w:proofErr w:type="spellEnd"/>
            <w:proofErr w:type="gram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առկայությունը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՝ 3,5 %-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ից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ավելի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նիկոտինի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խեժի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պարունակությունը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սիգարետի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ծխում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նիկոտինը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ավելի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քան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1,3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մգ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սիգ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խեժը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ավելի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քան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16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մգ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սիգ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։</w:t>
            </w:r>
          </w:p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(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տուփ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փակ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փաթեթավորմամբ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տուփի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մեջ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առնվազն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20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գլանակ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/: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Անվտանգությունը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մակնշումը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` ՀՀ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կառավարության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2005թ.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ապրիլի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28-ի N 540-Ն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որոշմամբ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"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Ծխախոտի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վերաբերյալ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կանոնակարգի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":</w:t>
            </w:r>
          </w:p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Сигарета с фильтром, сигарета, неотделимая от фильтра с одним цилиндром, влажность не более 13%, наличие пыли не более 3,5%, содержание никотиновых смол в сигаретном дыме: никотин не более 1,3 мг / бел, смола не более чем 16 мг / белый.</w:t>
            </w:r>
          </w:p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(Каждая коробка в закрытой упаковке, не менее 20 баллонов в коробке).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Ծխախոտ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ֆիլտրով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ծխախոտը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ֆիլտրից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անբաժան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մեկ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միասնական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գլանակով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խոնավությունը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13 %-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ից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ավելի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, 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փոշու</w:t>
            </w:r>
            <w:proofErr w:type="spellEnd"/>
            <w:proofErr w:type="gram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առկայությունը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3,5 %-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ից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ավելի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նիկոտինի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խեժի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պարունակությունը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սիգարետի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ծխում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՝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նիկոտինը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ավելի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քան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1,3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մգ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սիգ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խեժը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ավելի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քան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16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մգ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սիգ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։</w:t>
            </w:r>
          </w:p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(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տուփ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փակ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փաթեթավորմամբ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տուփի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մեջ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առնվազն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20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գլանակ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/: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Անվտանգությունը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և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մակնշումը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` 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ՀՀ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կառավարության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2005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թ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ապրիլի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28-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N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540-</w:t>
            </w: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որոշմամբ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"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Ծխախոտի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վերաբերյալ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կանոնակարգի</w:t>
            </w:r>
            <w:proofErr w:type="spellEnd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":</w:t>
            </w:r>
          </w:p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Сигарета с фильтром, сигарета, неотделимая от фильтра с одним цилиндром, влажность не более 13%, наличие пыли не более 3,5%, содержание никотиновых смол в сигаретном дыме: никотин не более 1,3 мг / бел, смола не более чем 16 мг / белый.</w:t>
            </w:r>
          </w:p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(Каждая коробка в закрытой упаковке, не менее 20 баллонов в коробке).</w:t>
            </w:r>
          </w:p>
        </w:tc>
      </w:tr>
      <w:tr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>
        <w:trPr>
          <w:trHeight w:val="790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 ընթացակարգ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ընտրության հիմնավորումը</w:t>
            </w:r>
          </w:p>
          <w:p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Էլեկտրոնային աճուրդի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CPV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կոդերում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չէր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։Գնումների մասին օրենքի 22-րդ հոդվածի համապատասխան։</w:t>
            </w:r>
          </w:p>
          <w:p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Отсутствует в кодах CPV электронного аукциона В соответствии со статьей 22 Закона о закупках.</w:t>
            </w:r>
          </w:p>
        </w:tc>
      </w:tr>
      <w:tr>
        <w:trPr>
          <w:trHeight w:val="43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  <w:p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2022-12-13</w:t>
            </w:r>
          </w:p>
        </w:tc>
      </w:tr>
      <w:tr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Дата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изменений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внесенных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в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разъяснений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относительно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запроса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Разъяснения</w:t>
            </w:r>
            <w:proofErr w:type="spellEnd"/>
          </w:p>
        </w:tc>
      </w:tr>
      <w:tr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П/Н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Наименования</w:t>
            </w:r>
            <w:proofErr w:type="spellEnd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участников</w:t>
            </w:r>
            <w:proofErr w:type="spellEnd"/>
          </w:p>
        </w:tc>
        <w:tc>
          <w:tcPr>
            <w:tcW w:w="7692" w:type="dxa"/>
            <w:gridSpan w:val="23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</w:p>
        </w:tc>
      </w:tr>
      <w:tr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Цена без НДС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Всего</w:t>
            </w:r>
            <w:proofErr w:type="spellEnd"/>
          </w:p>
        </w:tc>
      </w:tr>
      <w:tr>
        <w:trPr>
          <w:trHeight w:val="83"/>
        </w:trPr>
        <w:tc>
          <w:tcPr>
            <w:tcW w:w="11212" w:type="dxa"/>
            <w:gridSpan w:val="32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</w:tr>
      <w:tr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Լեքս</w:t>
            </w:r>
            <w:proofErr w:type="spellEnd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Տոբակո</w:t>
            </w:r>
            <w:proofErr w:type="spellEnd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Քոմփանի</w:t>
            </w:r>
            <w:proofErr w:type="spellEnd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 xml:space="preserve">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6,785,958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1,357,192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8,143,150</w:t>
            </w:r>
          </w:p>
        </w:tc>
      </w:tr>
      <w:tr>
        <w:trPr>
          <w:trHeight w:val="46"/>
        </w:trPr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Էյջ</w:t>
            </w:r>
            <w:proofErr w:type="spellEnd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Էյջ</w:t>
            </w:r>
            <w:proofErr w:type="spellEnd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Առ</w:t>
            </w:r>
            <w:proofErr w:type="spellEnd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 xml:space="preserve">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8,300,000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8,300,000</w:t>
            </w:r>
          </w:p>
        </w:tc>
      </w:tr>
      <w:tr>
        <w:trPr>
          <w:trHeight w:val="46"/>
        </w:trPr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Աշան-Արմ</w:t>
            </w:r>
            <w:proofErr w:type="spellEnd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 xml:space="preserve">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7,135,750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1,427,150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8,562,900</w:t>
            </w:r>
          </w:p>
        </w:tc>
      </w:tr>
      <w:tr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20"/>
              </w:rPr>
              <w:t>ԹԵՅՍԹԻ ԳՐՈՒՊ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20"/>
              </w:rPr>
              <w:t>5,729,588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20"/>
              </w:rPr>
              <w:t>1,145,918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20"/>
              </w:rPr>
              <w:t>6,875,505</w:t>
            </w:r>
          </w:p>
        </w:tc>
      </w:tr>
      <w:tr>
        <w:tc>
          <w:tcPr>
            <w:tcW w:w="11212" w:type="dxa"/>
            <w:gridSpan w:val="32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2</w:t>
            </w:r>
          </w:p>
        </w:tc>
      </w:tr>
      <w:tr>
        <w:trPr>
          <w:trHeight w:val="430"/>
        </w:trPr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Լեքս</w:t>
            </w:r>
            <w:proofErr w:type="spellEnd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Տոբակո</w:t>
            </w:r>
            <w:proofErr w:type="spellEnd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Քոմփանի</w:t>
            </w:r>
            <w:proofErr w:type="spellEnd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 xml:space="preserve"> ՍՊԸ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16,288,125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3,257,625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19,545,750</w:t>
            </w:r>
          </w:p>
        </w:tc>
      </w:tr>
      <w:tr>
        <w:trPr>
          <w:trHeight w:val="304"/>
        </w:trPr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Էյջ</w:t>
            </w:r>
            <w:proofErr w:type="spellEnd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Էյջ</w:t>
            </w:r>
            <w:proofErr w:type="spellEnd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Առ</w:t>
            </w:r>
            <w:proofErr w:type="spellEnd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 xml:space="preserve"> ՍՊԸ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19,000,000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19,000,000</w:t>
            </w:r>
          </w:p>
        </w:tc>
      </w:tr>
      <w:tr>
        <w:trPr>
          <w:trHeight w:val="304"/>
        </w:trPr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Աշան-Արմ</w:t>
            </w:r>
            <w:proofErr w:type="spellEnd"/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 xml:space="preserve"> ՍՊԸ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15,010,625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3,002,125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2"/>
                <w:szCs w:val="20"/>
              </w:rPr>
              <w:t>18,012,750</w:t>
            </w:r>
          </w:p>
        </w:tc>
      </w:tr>
      <w:tr>
        <w:trPr>
          <w:trHeight w:val="304"/>
        </w:trPr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20"/>
              </w:rPr>
              <w:t>ԹԵՅՍԹԻ ԳՐՈՒՊ ՍՊԸ</w:t>
            </w:r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20"/>
              </w:rPr>
              <w:t>14,084,438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20"/>
              </w:rPr>
              <w:t>2,816,888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20"/>
              </w:rPr>
              <w:t>16,901,325</w:t>
            </w:r>
          </w:p>
        </w:tc>
      </w:tr>
      <w:tr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8957" w:type="dxa"/>
            <w:gridSpan w:val="27"/>
            <w:shd w:val="clear" w:color="auto" w:fill="auto"/>
            <w:vAlign w:val="center"/>
          </w:tcPr>
          <w:p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  <w:p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Примечание: Иные основания для отклонения заявок.</w:t>
            </w:r>
          </w:p>
        </w:tc>
      </w:tr>
      <w:tr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 определения отобранного участника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2022-12-21</w:t>
            </w:r>
          </w:p>
        </w:tc>
      </w:tr>
      <w:tr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Начало периода ожидания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Окончание периода ожидания</w:t>
            </w:r>
          </w:p>
        </w:tc>
      </w:tr>
      <w:tr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2022-12-22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2023-01-01</w:t>
            </w:r>
          </w:p>
        </w:tc>
      </w:tr>
      <w:tr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</w:t>
            </w:r>
          </w:p>
          <w:p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Дата извещения отобранного участника о предложении относительно заключения договора                   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2023-01-10</w:t>
            </w:r>
          </w:p>
        </w:tc>
      </w:tr>
      <w:tr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2023-01-23</w:t>
            </w:r>
          </w:p>
        </w:tc>
      </w:tr>
      <w:tr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подписания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заказчиком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2023-01-24</w:t>
            </w:r>
          </w:p>
        </w:tc>
      </w:tr>
      <w:tr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>
        <w:tc>
          <w:tcPr>
            <w:tcW w:w="814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лота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8986" w:type="dxa"/>
            <w:gridSpan w:val="28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  <w:proofErr w:type="spellEnd"/>
          </w:p>
        </w:tc>
      </w:tr>
      <w:tr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заключения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Размер предоплаты</w:t>
            </w: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</w:p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РА</w:t>
            </w:r>
          </w:p>
        </w:tc>
      </w:tr>
      <w:tr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По имеющимся финансовым средствам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>
        <w:trPr>
          <w:trHeight w:val="46"/>
        </w:trPr>
        <w:tc>
          <w:tcPr>
            <w:tcW w:w="814" w:type="dxa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«ԹԵՅՍԹԻ ԳՐՈՒՊ» ՍՊԸ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ԱՍՀՆ-ՊՈԱԿ-ԳՀԱՊՁԲ-23/9-1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24.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.2023թ</w:t>
            </w:r>
            <w:r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25.12.2023թ</w:t>
            </w:r>
            <w:r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6883900</w:t>
            </w:r>
          </w:p>
        </w:tc>
      </w:tr>
      <w:tr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«ԹԵՅՍԹԻ ԳՐՈՒՊ» ՍՊԸ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ԱՍՀՆ-ՊՈԱԿ-ԳՀԱՊՁԲ-23/9-1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24.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01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.2023թ</w:t>
            </w:r>
            <w:r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25.12.2023թ</w:t>
            </w:r>
            <w:r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16901325</w:t>
            </w:r>
          </w:p>
        </w:tc>
      </w:tr>
      <w:tr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Наименование и адрес отобранного участника (отобранных участников)</w:t>
            </w:r>
          </w:p>
        </w:tc>
      </w:tr>
      <w:tr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Номер лота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УНН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Номер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серия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паспорта</w:t>
            </w:r>
          </w:p>
        </w:tc>
      </w:tr>
      <w:tr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«ԹԵՅՍԹԻ ԳՐՈՒՊ» ՍՊԸ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Երևան , Աջափնյակ , Նորաշեն թ . 14 շ  22 բն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lang w:val="hy-AM"/>
              </w:rPr>
            </w:pPr>
            <w:hyperlink r:id="rId8" w:history="1">
              <w:r>
                <w:rPr>
                  <w:rStyle w:val="Hyperlink"/>
                  <w:rFonts w:ascii="GHEA Grapalat" w:eastAsia="Times New Roman" w:hAnsi="GHEA Grapalat"/>
                  <w:sz w:val="14"/>
                  <w:szCs w:val="14"/>
                  <w:lang w:val="hy-AM" w:eastAsia="ru-RU"/>
                </w:rPr>
                <w:t>tastygroup1@mail.ru</w:t>
              </w:r>
            </w:hyperlink>
            <w:r>
              <w:rPr>
                <w:rStyle w:val="Hyperlink"/>
                <w:rFonts w:eastAsia="Times New Roman"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1150013815955925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01328869</w:t>
            </w:r>
          </w:p>
        </w:tc>
      </w:tr>
      <w:tr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«ԹԵՅՍԹԻ ԳՐՈՒՊ» ՍՊԸ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Երևան , Աջափնյակ , Նորաշեն թ . 14 շ  22 բն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lang w:val="hy-AM"/>
              </w:rPr>
            </w:pPr>
            <w:hyperlink r:id="rId9" w:history="1">
              <w:r>
                <w:rPr>
                  <w:rStyle w:val="Hyperlink"/>
                  <w:rFonts w:ascii="GHEA Grapalat" w:eastAsia="Times New Roman" w:hAnsi="GHEA Grapalat"/>
                  <w:sz w:val="14"/>
                  <w:szCs w:val="14"/>
                  <w:lang w:val="hy-AM" w:eastAsia="ru-RU"/>
                </w:rPr>
                <w:t>tastygroup1@mail.ru</w:t>
              </w:r>
            </w:hyperlink>
            <w:r>
              <w:rPr>
                <w:rStyle w:val="Hyperlink"/>
                <w:rFonts w:eastAsia="Times New Roman"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1150013815955925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01328869</w:t>
            </w:r>
          </w:p>
        </w:tc>
      </w:tr>
      <w:tr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866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 xml:space="preserve"> </w:t>
            </w:r>
          </w:p>
          <w:p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Ինչպես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սույն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տվյալ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մասով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հայտ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մասնակիցները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այնպես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գրանցում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ստացած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հասարակական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լրատվական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գործունեություն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իրականացնող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անձինք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են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պատվիրատուին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ներկայացնել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կնքված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տվյալ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արդյունքի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ընդունման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գործընթացին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պատասխանատու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ստորաբաժանման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հետ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համատեղ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մասնակցելու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գրավոր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պահանջ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սույն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հրապարակվելուց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------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օրացուցային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օրվա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ընթացքում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lang w:eastAsia="ru-RU"/>
              </w:rPr>
              <w:t>:</w:t>
            </w:r>
          </w:p>
          <w:p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trike/>
                <w:sz w:val="14"/>
                <w:szCs w:val="14"/>
                <w:u w:val="single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u w:val="single"/>
                <w:lang w:eastAsia="ru-RU"/>
              </w:rPr>
              <w:t>Պատվիրատուի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u w:val="single"/>
                <w:lang w:eastAsia="ru-RU"/>
              </w:rPr>
              <w:t>պատասխանատու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u w:val="single"/>
                <w:lang w:eastAsia="ru-RU"/>
              </w:rPr>
              <w:t>ստորաբաժանման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u w:val="single"/>
                <w:lang w:eastAsia="ru-RU"/>
              </w:rPr>
              <w:t>ղեկավարի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u w:val="single"/>
                <w:lang w:eastAsia="ru-RU"/>
              </w:rPr>
              <w:t>էլեկտրոնային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u w:val="single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u w:val="single"/>
                <w:lang w:eastAsia="ru-RU"/>
              </w:rPr>
              <w:t>պաշտոնական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u w:val="single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u w:val="single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u w:val="single"/>
                <w:lang w:eastAsia="ru-RU"/>
              </w:rPr>
              <w:t xml:space="preserve"> է  ---------------------------:</w:t>
            </w:r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u w:val="single"/>
                <w:vertAlign w:val="superscript"/>
                <w:lang w:eastAsia="ru-RU"/>
              </w:rPr>
              <w:footnoteReference w:id="8"/>
            </w:r>
          </w:p>
          <w:p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----------  календарных</w:t>
            </w:r>
            <w:r>
              <w:rPr>
                <w:rFonts w:ascii="GHEA Grapalat" w:eastAsia="Times New Roman" w:hAnsi="GHEA Grapalat"/>
                <w:b/>
                <w:strike/>
                <w:sz w:val="14"/>
                <w:szCs w:val="14"/>
                <w:u w:val="single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дней после опубликования настоящего объявления.</w:t>
            </w:r>
          </w:p>
          <w:p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 письменному требованию прилагается:</w:t>
            </w:r>
          </w:p>
          <w:p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оригинал доверенности, выданный физическому лицу. При этом </w:t>
            </w:r>
          </w:p>
          <w:p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trike/>
                <w:sz w:val="14"/>
                <w:szCs w:val="14"/>
                <w:u w:val="single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Официальный адрес электронной почты руководителя ответственного подразделения заказчика---------------------------.8</w:t>
            </w:r>
          </w:p>
        </w:tc>
      </w:tr>
      <w:tr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Другие необходимые сведения</w:t>
            </w:r>
          </w:p>
        </w:tc>
        <w:tc>
          <w:tcPr>
            <w:tcW w:w="866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>
        <w:trPr>
          <w:trHeight w:val="47"/>
        </w:trPr>
        <w:tc>
          <w:tcPr>
            <w:tcW w:w="35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380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почты</w:t>
            </w:r>
            <w:proofErr w:type="spellEnd"/>
          </w:p>
        </w:tc>
      </w:tr>
      <w:tr>
        <w:trPr>
          <w:trHeight w:val="47"/>
        </w:trPr>
        <w:tc>
          <w:tcPr>
            <w:tcW w:w="3510" w:type="dxa"/>
            <w:gridSpan w:val="8"/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Ք</w:t>
            </w:r>
            <w:r>
              <w:rPr>
                <w:rFonts w:ascii="Cambria Math" w:eastAsia="Times New Roman" w:hAnsi="Cambria Math" w:cs="Cambria Math"/>
                <w:b/>
                <w:bCs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Մայիլյան</w:t>
            </w:r>
          </w:p>
        </w:tc>
        <w:tc>
          <w:tcPr>
            <w:tcW w:w="3805" w:type="dxa"/>
            <w:gridSpan w:val="15"/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010 300 124</w:t>
            </w:r>
            <w:bookmarkStart w:id="0" w:name="_GoBack"/>
            <w:bookmarkEnd w:id="0"/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0" w:history="1">
              <w:r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kristine.mailyan@mlsa.am</w:t>
              </w:r>
            </w:hyperlink>
          </w:p>
        </w:tc>
      </w:tr>
    </w:tbl>
    <w:p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>
      <w:pgSz w:w="11907" w:h="16840" w:code="9"/>
      <w:pgMar w:top="810" w:right="567" w:bottom="284" w:left="117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8"/>
          <w:szCs w:val="8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՝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>
      <w:pPr>
        <w:pStyle w:val="FootnoteText"/>
        <w:jc w:val="both"/>
        <w:rPr>
          <w:rFonts w:ascii="Calibri" w:hAnsi="Calibri"/>
          <w:lang w:val="hy-AM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57DCE2-016C-45B1-9E70-47F8FC9B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tygroup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ristine.mailyan@mlsa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stygroup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5C478-2B4D-45E3-9C76-F1D7E1D4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kristine mailyan</cp:lastModifiedBy>
  <cp:revision>84</cp:revision>
  <cp:lastPrinted>2021-12-17T10:05:00Z</cp:lastPrinted>
  <dcterms:created xsi:type="dcterms:W3CDTF">2021-06-28T12:08:00Z</dcterms:created>
  <dcterms:modified xsi:type="dcterms:W3CDTF">2023-01-30T07:41:00Z</dcterms:modified>
</cp:coreProperties>
</file>