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EC30A8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14:paraId="1CCD37CD" w14:textId="5A25B791" w:rsidR="0022631D" w:rsidRPr="00EC30A8" w:rsidRDefault="0022631D" w:rsidP="00EC30A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b/>
          <w:szCs w:val="20"/>
          <w:lang w:val="af-ZA" w:eastAsia="ru-RU"/>
        </w:rPr>
        <w:t>կնքված պայմանագրի մասին</w:t>
      </w:r>
    </w:p>
    <w:p w14:paraId="6D610C87" w14:textId="68FB8F00" w:rsidR="0022631D" w:rsidRPr="006F54DF" w:rsidRDefault="00D32791" w:rsidP="000642B4">
      <w:pPr>
        <w:spacing w:before="0" w:after="0"/>
        <w:ind w:left="-540" w:firstLine="36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ներքին գործերի նախարարությունը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է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>ք. Երևան Նալբանդյան 130 հասցեում,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EC30A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F46FE5" w:rsidRPr="00F46FE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ապահովագրման ծառայությունների </w:t>
      </w:r>
      <w:r w:rsidR="003C511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602DF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B0849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ՆԳՆ ԳՀԾՁԲ-2026/Ա-1</w:t>
      </w:r>
      <w:r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296076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0849">
        <w:rPr>
          <w:rFonts w:ascii="GHEA Grapalat" w:eastAsia="Times New Roman" w:hAnsi="GHEA Grapalat" w:cs="Sylfaen"/>
          <w:sz w:val="20"/>
          <w:szCs w:val="20"/>
          <w:lang w:val="hy-AM" w:eastAsia="ru-RU"/>
        </w:rPr>
        <w:t>15.12</w:t>
      </w:r>
      <w:r w:rsidR="00B45B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.2025 թվականին 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877B3D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EC30A8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  <w:r w:rsidR="004B6EA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3F2A9659" w14:textId="77777777" w:rsidR="0022631D" w:rsidRPr="00EC30A8" w:rsidRDefault="0022631D" w:rsidP="00D57869">
      <w:pPr>
        <w:spacing w:before="0"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6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58"/>
        <w:gridCol w:w="540"/>
        <w:gridCol w:w="246"/>
        <w:gridCol w:w="29"/>
        <w:gridCol w:w="265"/>
        <w:gridCol w:w="25"/>
        <w:gridCol w:w="785"/>
        <w:gridCol w:w="572"/>
        <w:gridCol w:w="238"/>
        <w:gridCol w:w="16"/>
        <w:gridCol w:w="159"/>
        <w:gridCol w:w="49"/>
        <w:gridCol w:w="603"/>
        <w:gridCol w:w="8"/>
        <w:gridCol w:w="65"/>
        <w:gridCol w:w="450"/>
        <w:gridCol w:w="180"/>
        <w:gridCol w:w="500"/>
        <w:gridCol w:w="67"/>
        <w:gridCol w:w="14"/>
        <w:gridCol w:w="519"/>
        <w:gridCol w:w="520"/>
        <w:gridCol w:w="25"/>
        <w:gridCol w:w="245"/>
        <w:gridCol w:w="450"/>
        <w:gridCol w:w="37"/>
        <w:gridCol w:w="675"/>
        <w:gridCol w:w="208"/>
        <w:gridCol w:w="26"/>
        <w:gridCol w:w="404"/>
        <w:gridCol w:w="1800"/>
      </w:tblGrid>
      <w:tr w:rsidR="0022631D" w:rsidRPr="00EC30A8" w14:paraId="3BCB0F4A" w14:textId="77777777" w:rsidTr="00AB3A8E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</w:p>
        </w:tc>
        <w:tc>
          <w:tcPr>
            <w:tcW w:w="10178" w:type="dxa"/>
            <w:gridSpan w:val="31"/>
            <w:shd w:val="clear" w:color="auto" w:fill="auto"/>
            <w:vAlign w:val="center"/>
          </w:tcPr>
          <w:p w14:paraId="47A5B985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Գ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 xml:space="preserve">նման </w:t>
            </w: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առարկայի</w:t>
            </w:r>
          </w:p>
        </w:tc>
      </w:tr>
      <w:tr w:rsidR="0022631D" w:rsidRPr="00EC30A8" w14:paraId="796D388F" w14:textId="77777777" w:rsidTr="00AB3A8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C30A8" w:rsidRDefault="0022631D" w:rsidP="000642B4">
            <w:pPr>
              <w:widowControl w:val="0"/>
              <w:tabs>
                <w:tab w:val="left" w:pos="60"/>
              </w:tabs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չափաբաժնի համարը</w:t>
            </w:r>
          </w:p>
        </w:tc>
        <w:tc>
          <w:tcPr>
            <w:tcW w:w="1538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EC30A8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45A06A4A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քանակը</w:t>
            </w:r>
          </w:p>
        </w:tc>
        <w:tc>
          <w:tcPr>
            <w:tcW w:w="2593" w:type="dxa"/>
            <w:gridSpan w:val="11"/>
            <w:shd w:val="clear" w:color="auto" w:fill="auto"/>
            <w:vAlign w:val="center"/>
          </w:tcPr>
          <w:p w14:paraId="62535C4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14:paraId="5D28987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EC30A8" w14:paraId="02BE1D52" w14:textId="77777777" w:rsidTr="00AB3A8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3205D9FB" w:rsidR="0022631D" w:rsidRPr="00EC30A8" w:rsidRDefault="0022631D" w:rsidP="00666B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EC30A8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593" w:type="dxa"/>
            <w:gridSpan w:val="11"/>
            <w:shd w:val="clear" w:color="auto" w:fill="auto"/>
            <w:vAlign w:val="center"/>
          </w:tcPr>
          <w:p w14:paraId="01CC38D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0" w:type="dxa"/>
            <w:gridSpan w:val="6"/>
            <w:vMerge/>
            <w:shd w:val="clear" w:color="auto" w:fill="auto"/>
          </w:tcPr>
          <w:p w14:paraId="12AD9841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28B6AAAB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EC30A8" w14:paraId="688F77C8" w14:textId="77777777" w:rsidTr="00AB3A8E">
        <w:trPr>
          <w:trHeight w:val="646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EC30A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1A824F" w:rsidR="0022631D" w:rsidRPr="00EC30A8" w:rsidRDefault="0022631D" w:rsidP="00666BE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EC30A8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80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EC30A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3B0849" w14:paraId="6CB0AC86" w14:textId="77777777" w:rsidTr="00AB3A8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4945BE47" w:rsidR="00235C0F" w:rsidRPr="00753E26" w:rsidRDefault="00235C0F" w:rsidP="00235C0F">
            <w:pPr>
              <w:pStyle w:val="ListParagraph"/>
              <w:widowControl w:val="0"/>
              <w:numPr>
                <w:ilvl w:val="0"/>
                <w:numId w:val="3"/>
              </w:numPr>
              <w:spacing w:before="0"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538" w:type="dxa"/>
            <w:gridSpan w:val="5"/>
            <w:shd w:val="clear" w:color="auto" w:fill="auto"/>
            <w:vAlign w:val="center"/>
          </w:tcPr>
          <w:p w14:paraId="46EA005F" w14:textId="77777777" w:rsidR="000A7AC4" w:rsidRPr="000A7AC4" w:rsidRDefault="000A7AC4" w:rsidP="000A7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0A7AC4">
              <w:rPr>
                <w:rFonts w:ascii="GHEA Grapalat" w:hAnsi="GHEA Grapalat"/>
                <w:sz w:val="18"/>
              </w:rPr>
              <w:t>Ապահովագրական ծախսեր</w:t>
            </w:r>
          </w:p>
          <w:p w14:paraId="1A1D0FC2" w14:textId="77777777" w:rsidR="000A7AC4" w:rsidRPr="000A7AC4" w:rsidRDefault="000A7AC4" w:rsidP="000A7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</w:rPr>
            </w:pPr>
            <w:r w:rsidRPr="000A7AC4">
              <w:rPr>
                <w:rFonts w:ascii="GHEA Grapalat" w:hAnsi="GHEA Grapalat"/>
                <w:sz w:val="18"/>
              </w:rPr>
              <w:t>«ԱՊՊԱ»</w:t>
            </w:r>
          </w:p>
          <w:p w14:paraId="2721F035" w14:textId="67F257BF" w:rsidR="00235C0F" w:rsidRPr="00EC30A8" w:rsidRDefault="000A7AC4" w:rsidP="000A7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A7AC4">
              <w:rPr>
                <w:rFonts w:ascii="GHEA Grapalat" w:hAnsi="GHEA Grapalat"/>
                <w:sz w:val="18"/>
              </w:rPr>
              <w:t>CPV- 66511180/519</w:t>
            </w: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5C08EE47" w14:textId="24314231" w:rsidR="00235C0F" w:rsidRPr="00EC30A8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A76924">
              <w:rPr>
                <w:rFonts w:ascii="GHEA Grapalat" w:hAnsi="GHEA Grapalat"/>
                <w:sz w:val="18"/>
                <w:szCs w:val="18"/>
              </w:rPr>
              <w:t>դրամ</w:t>
            </w:r>
          </w:p>
        </w:tc>
        <w:tc>
          <w:tcPr>
            <w:tcW w:w="826" w:type="dxa"/>
            <w:gridSpan w:val="3"/>
            <w:shd w:val="clear" w:color="auto" w:fill="auto"/>
            <w:vAlign w:val="center"/>
          </w:tcPr>
          <w:p w14:paraId="5DAA0F81" w14:textId="2B6F287F" w:rsidR="00235C0F" w:rsidRPr="00C238B5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14:paraId="6021AF6A" w14:textId="2AA14B13" w:rsidR="00235C0F" w:rsidRPr="00A76924" w:rsidRDefault="00A76924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6"/>
            <w:shd w:val="clear" w:color="auto" w:fill="auto"/>
            <w:vAlign w:val="center"/>
          </w:tcPr>
          <w:p w14:paraId="07535066" w14:textId="1D6AF614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23" w:type="dxa"/>
            <w:gridSpan w:val="5"/>
            <w:shd w:val="clear" w:color="auto" w:fill="auto"/>
            <w:vAlign w:val="center"/>
          </w:tcPr>
          <w:p w14:paraId="22401932" w14:textId="4C50BB0C" w:rsidR="00235C0F" w:rsidRPr="00EC30A8" w:rsidRDefault="000A7AC4" w:rsidP="00B45B1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A7AC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11 926 000</w:t>
            </w:r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14:paraId="7036E637" w14:textId="77777777" w:rsidR="000A7AC4" w:rsidRPr="000A7AC4" w:rsidRDefault="000A7AC4" w:rsidP="000A7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A7AC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Ավտոտրանսպորտային միջոցների օգտագործումից բխող պատասխանատվության պարտադիր ապահովագրություն (ԱՊՊԱ ծառայություն) </w:t>
            </w:r>
          </w:p>
          <w:p w14:paraId="052ABC01" w14:textId="77777777" w:rsidR="000A7AC4" w:rsidRPr="000A7AC4" w:rsidRDefault="000A7AC4" w:rsidP="000A7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A7AC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°   ՀՀ ՆԳՆ ՓԾ հաշվեկշռում 322 հաշվառված տրանսպոտային միջոցների օգտագործումից բխող պատասխանատվության պարտադիր ապահովագրություն  (ԱՊՊԱ ծառայություն)</w:t>
            </w:r>
          </w:p>
          <w:p w14:paraId="537B14C1" w14:textId="77777777" w:rsidR="000A7AC4" w:rsidRPr="000A7AC4" w:rsidRDefault="000A7AC4" w:rsidP="000A7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A7AC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° Ծառայությունների մատուցումը համաձայն ավտոտրանսպորտային միջոցնրի օգտագործումից բխող պատասխանատվության պարտադիր ապահովագրության վերաբերյալ հարաբերությունները կարգավորող իրավական ակտերի պահանջների</w:t>
            </w:r>
          </w:p>
          <w:p w14:paraId="1013593A" w14:textId="33D81844" w:rsidR="00235C0F" w:rsidRPr="00BC2EEA" w:rsidRDefault="000A7AC4" w:rsidP="000A7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A7AC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Հավելված 1.1</w:t>
            </w:r>
          </w:p>
        </w:tc>
        <w:tc>
          <w:tcPr>
            <w:tcW w:w="1800" w:type="dxa"/>
            <w:shd w:val="clear" w:color="auto" w:fill="auto"/>
          </w:tcPr>
          <w:p w14:paraId="781EADF5" w14:textId="77777777" w:rsidR="000A7AC4" w:rsidRPr="000A7AC4" w:rsidRDefault="000A7AC4" w:rsidP="000A7A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A7AC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 xml:space="preserve">Ավտոտրանսպորտային միջոցների օգտագործումից բխող պատասխանատվության պարտադիր ապահովագրություն (ԱՊՊԱ ծառայություն) </w:t>
            </w:r>
          </w:p>
          <w:p w14:paraId="4C0478FA" w14:textId="77777777" w:rsidR="000A7AC4" w:rsidRPr="000A7AC4" w:rsidRDefault="000A7AC4" w:rsidP="000A7A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A7AC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°   ՀՀ ՆԳՆ ՓԾ հաշվեկշռում 322 հաշվառված տրանսպոտային միջոցների օգտագործումից բխող պատասխանատվության պարտադիր ապահովագրություն  (ԱՊՊԱ ծառայություն)</w:t>
            </w:r>
          </w:p>
          <w:p w14:paraId="62A1FB17" w14:textId="77777777" w:rsidR="000A7AC4" w:rsidRPr="000A7AC4" w:rsidRDefault="000A7AC4" w:rsidP="000A7A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A7AC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° Ծառայությունների մատուցումը համաձայն ավտոտրանսպորտային միջոցնրի օգտագործումից բխող պատասխանատվության պարտադիր ապահովագրության վերաբերյալ հարաբերությունները կարգավորող իրավական ակտերի պահանջների</w:t>
            </w:r>
          </w:p>
          <w:p w14:paraId="5152B32D" w14:textId="7B2A8D40" w:rsidR="00235C0F" w:rsidRPr="007C14E6" w:rsidRDefault="000A7AC4" w:rsidP="000A7AC4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0A7AC4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Հավելված 1.1</w:t>
            </w:r>
          </w:p>
        </w:tc>
      </w:tr>
      <w:tr w:rsidR="00235C0F" w:rsidRPr="001048CC" w14:paraId="4B8BC031" w14:textId="77777777" w:rsidTr="00050641">
        <w:trPr>
          <w:trHeight w:val="169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451180EC" w14:textId="10E8CA09" w:rsidR="00235C0F" w:rsidRPr="00A76924" w:rsidRDefault="009A7008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CC5EB7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  </w:t>
            </w:r>
            <w:r w:rsidRPr="00CC5EB7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 xml:space="preserve">       </w:t>
            </w:r>
          </w:p>
        </w:tc>
      </w:tr>
      <w:tr w:rsidR="00235C0F" w:rsidRPr="003B0849" w14:paraId="24C3B0CB" w14:textId="77777777" w:rsidTr="00050641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նման ընթացակարգ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EC6C6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79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1CAE72" w:rsidR="00235C0F" w:rsidRPr="00EC6C64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235C0F" w:rsidRPr="003B0849" w14:paraId="075EEA57" w14:textId="77777777" w:rsidTr="00050641">
        <w:trPr>
          <w:trHeight w:val="196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35C0F" w:rsidRPr="00EC6C64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81596E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EC6C64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կամ հրապարակելու 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4796E8E" w:rsidR="00235C0F" w:rsidRPr="000B2910" w:rsidRDefault="00173568" w:rsidP="00A3708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06.11</w:t>
            </w:r>
            <w:r w:rsidR="001E083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.2025</w:t>
            </w:r>
            <w:r w:rsidR="00235C0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թ.</w:t>
            </w:r>
          </w:p>
        </w:tc>
      </w:tr>
      <w:tr w:rsidR="00235C0F" w:rsidRPr="00296076" w14:paraId="199F948A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5883E63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Հրավերում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կատարված</w:t>
            </w:r>
            <w:r w:rsidRPr="00E40A23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F821E71" w:rsidR="00235C0F" w:rsidRPr="00E40A23" w:rsidRDefault="00235C0F" w:rsidP="0017356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296076" w14:paraId="6EE9B008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…</w:t>
            </w:r>
          </w:p>
        </w:tc>
        <w:tc>
          <w:tcPr>
            <w:tcW w:w="38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</w:tr>
      <w:tr w:rsidR="00235C0F" w:rsidRPr="00EC30A8" w14:paraId="13FE412E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35C0F" w:rsidRPr="00E40A23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35C0F" w:rsidRPr="00E40A23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40A2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Պարզաբ</w:t>
            </w:r>
            <w:r w:rsidRPr="00296076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անմ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</w:t>
            </w:r>
          </w:p>
        </w:tc>
      </w:tr>
      <w:tr w:rsidR="00235C0F" w:rsidRPr="00EC30A8" w14:paraId="321D26CF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68E691E2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66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35C0F" w:rsidRPr="00EC30A8" w:rsidRDefault="00235C0F" w:rsidP="00235C0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30B89418" w14:textId="77777777" w:rsidTr="00050641">
        <w:trPr>
          <w:trHeight w:val="54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70776DB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235C0F" w:rsidRPr="00EC30A8" w14:paraId="10DC4861" w14:textId="77777777" w:rsidTr="00050641">
        <w:trPr>
          <w:trHeight w:val="605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700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020" w:type="dxa"/>
            <w:gridSpan w:val="22"/>
            <w:shd w:val="clear" w:color="auto" w:fill="auto"/>
            <w:vAlign w:val="center"/>
          </w:tcPr>
          <w:p w14:paraId="1FD38684" w14:textId="76CE2B63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 /ՀՀ դրամ</w:t>
            </w:r>
          </w:p>
        </w:tc>
      </w:tr>
      <w:tr w:rsidR="00235C0F" w:rsidRPr="00EC30A8" w14:paraId="3FD00E3A" w14:textId="77777777" w:rsidTr="00050641">
        <w:trPr>
          <w:trHeight w:val="365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14:paraId="67E5DBFB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700" w:type="dxa"/>
            <w:gridSpan w:val="8"/>
            <w:vMerge/>
            <w:shd w:val="clear" w:color="auto" w:fill="auto"/>
            <w:vAlign w:val="center"/>
          </w:tcPr>
          <w:p w14:paraId="7835142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630" w:type="dxa"/>
            <w:gridSpan w:val="12"/>
            <w:shd w:val="clear" w:color="auto" w:fill="auto"/>
            <w:vAlign w:val="center"/>
          </w:tcPr>
          <w:p w14:paraId="27542D6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4A371FE9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235C0F" w:rsidRPr="00EC30A8" w14:paraId="4DA511EC" w14:textId="77777777" w:rsidTr="00050641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DBE5B3F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720" w:type="dxa"/>
            <w:gridSpan w:val="30"/>
            <w:shd w:val="clear" w:color="auto" w:fill="auto"/>
            <w:vAlign w:val="center"/>
          </w:tcPr>
          <w:p w14:paraId="6ABF72D4" w14:textId="77777777" w:rsidR="00235C0F" w:rsidRPr="00EC30A8" w:rsidRDefault="00235C0F" w:rsidP="00235C0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4"/>
                <w:lang w:eastAsia="ru-RU"/>
              </w:rPr>
            </w:pPr>
          </w:p>
        </w:tc>
      </w:tr>
      <w:tr w:rsidR="000A7AC4" w:rsidRPr="00EC30A8" w14:paraId="50825522" w14:textId="77777777" w:rsidTr="005A52AB">
        <w:trPr>
          <w:trHeight w:val="31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0AD5B95" w14:textId="77777777" w:rsidR="000A7AC4" w:rsidRPr="00EC30A8" w:rsidRDefault="000A7AC4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259F3C98" w14:textId="768FDB6A" w:rsidR="000A7AC4" w:rsidRPr="00F93A46" w:rsidRDefault="000A7AC4" w:rsidP="000A7A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A7AC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ԱՐՄԵ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ՆԻԱ ԻՆՇՈՒՐԱՆՍ Ապահովագրական ՍՊԸ</w:t>
            </w:r>
          </w:p>
        </w:tc>
        <w:tc>
          <w:tcPr>
            <w:tcW w:w="2630" w:type="dxa"/>
            <w:gridSpan w:val="12"/>
            <w:shd w:val="clear" w:color="auto" w:fill="auto"/>
            <w:vAlign w:val="center"/>
          </w:tcPr>
          <w:p w14:paraId="1D867224" w14:textId="06F4EEEC" w:rsidR="000A7AC4" w:rsidRPr="00EC30A8" w:rsidRDefault="000A7AC4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A7AC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11 457 000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22B8A853" w14:textId="07303CDF" w:rsidR="000A7AC4" w:rsidRPr="00E40A23" w:rsidRDefault="000A7AC4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1F59BBB2" w14:textId="027F3980" w:rsidR="000A7AC4" w:rsidRPr="008B33FA" w:rsidRDefault="000A7AC4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A7AC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11 457 000</w:t>
            </w:r>
          </w:p>
        </w:tc>
      </w:tr>
      <w:tr w:rsidR="000A7AC4" w:rsidRPr="00EC30A8" w14:paraId="0D6F1357" w14:textId="77777777" w:rsidTr="005A52AB">
        <w:trPr>
          <w:trHeight w:val="313"/>
        </w:trPr>
        <w:tc>
          <w:tcPr>
            <w:tcW w:w="1440" w:type="dxa"/>
            <w:gridSpan w:val="3"/>
            <w:shd w:val="clear" w:color="auto" w:fill="auto"/>
            <w:vAlign w:val="center"/>
          </w:tcPr>
          <w:p w14:paraId="5AA1AE5B" w14:textId="7945B8E8" w:rsidR="000A7AC4" w:rsidRPr="000A7AC4" w:rsidRDefault="000A7AC4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</w:t>
            </w:r>
          </w:p>
        </w:tc>
        <w:tc>
          <w:tcPr>
            <w:tcW w:w="2700" w:type="dxa"/>
            <w:gridSpan w:val="8"/>
            <w:shd w:val="clear" w:color="auto" w:fill="auto"/>
            <w:vAlign w:val="center"/>
          </w:tcPr>
          <w:p w14:paraId="07AAB620" w14:textId="638E061B" w:rsidR="000A7AC4" w:rsidRPr="006310AE" w:rsidRDefault="000A7AC4" w:rsidP="000A7A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A7AC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Սիլ Ինշուրանս ԱՓԲԸ</w:t>
            </w:r>
          </w:p>
        </w:tc>
        <w:tc>
          <w:tcPr>
            <w:tcW w:w="2630" w:type="dxa"/>
            <w:gridSpan w:val="12"/>
            <w:shd w:val="clear" w:color="auto" w:fill="auto"/>
            <w:vAlign w:val="center"/>
          </w:tcPr>
          <w:p w14:paraId="3B198DAB" w14:textId="7D7E978B" w:rsidR="000A7AC4" w:rsidRPr="00173568" w:rsidRDefault="000A7AC4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A7AC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11 926 000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5E5C9AC2" w14:textId="33C1B219" w:rsidR="000A7AC4" w:rsidRDefault="000A7AC4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-</w:t>
            </w:r>
          </w:p>
        </w:tc>
        <w:tc>
          <w:tcPr>
            <w:tcW w:w="2230" w:type="dxa"/>
            <w:gridSpan w:val="3"/>
            <w:shd w:val="clear" w:color="auto" w:fill="auto"/>
            <w:vAlign w:val="center"/>
          </w:tcPr>
          <w:p w14:paraId="21A9E2D0" w14:textId="65CD8405" w:rsidR="000A7AC4" w:rsidRPr="00173568" w:rsidRDefault="000A7AC4" w:rsidP="000A7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0A7AC4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11 926 000</w:t>
            </w:r>
          </w:p>
        </w:tc>
      </w:tr>
      <w:tr w:rsidR="006310AE" w:rsidRPr="00F343B8" w14:paraId="69EF614C" w14:textId="77777777" w:rsidTr="00050641">
        <w:trPr>
          <w:trHeight w:val="457"/>
        </w:trPr>
        <w:tc>
          <w:tcPr>
            <w:tcW w:w="1980" w:type="dxa"/>
            <w:gridSpan w:val="4"/>
            <w:shd w:val="clear" w:color="auto" w:fill="auto"/>
            <w:vAlign w:val="center"/>
          </w:tcPr>
          <w:p w14:paraId="018AC703" w14:textId="37EAE017" w:rsidR="006310AE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180" w:type="dxa"/>
            <w:gridSpan w:val="29"/>
            <w:shd w:val="clear" w:color="auto" w:fill="auto"/>
            <w:vAlign w:val="center"/>
          </w:tcPr>
          <w:p w14:paraId="4D8B0944" w14:textId="65056AF4" w:rsidR="006310AE" w:rsidRPr="006B5194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</w:p>
        </w:tc>
      </w:tr>
      <w:tr w:rsidR="006310AE" w:rsidRPr="00F343B8" w14:paraId="700CD07F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10ED0606" w14:textId="77777777" w:rsidR="006310AE" w:rsidRPr="006B51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21126E1" w14:textId="77777777" w:rsidTr="00050641"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Տ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310AE" w:rsidRPr="00EC30A8" w14:paraId="552679BF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0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Գնահատման արդյունքները</w:t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310AE" w:rsidRPr="00EC30A8" w14:paraId="3CA6FABC" w14:textId="77777777" w:rsidTr="00050641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Հայտով ներկայացված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eastAsia="ru-RU"/>
              </w:rPr>
              <w:t xml:space="preserve"> փաստաթղթերի </w:t>
            </w: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highlight w:val="yellow"/>
                <w:lang w:val="hy-AM"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highlight w:val="yellow"/>
                <w:lang w:eastAsia="ru-RU"/>
              </w:rPr>
            </w:pPr>
            <w:r w:rsidRPr="00EC30A8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4"/>
                <w:lang w:val="hy-AM" w:eastAsia="ru-RU"/>
              </w:rPr>
              <w:t>Գնային առաջարկ</w:t>
            </w:r>
          </w:p>
        </w:tc>
      </w:tr>
      <w:tr w:rsidR="006310AE" w:rsidRPr="00EC30A8" w14:paraId="5E96A1C5" w14:textId="77777777" w:rsidTr="00050641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43F73EF" w14:textId="77777777" w:rsidTr="00050641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4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522ACAFB" w14:textId="77777777" w:rsidTr="00050641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514F7E40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05" w:type="dxa"/>
            <w:gridSpan w:val="27"/>
            <w:shd w:val="clear" w:color="auto" w:fill="auto"/>
            <w:vAlign w:val="center"/>
          </w:tcPr>
          <w:p w14:paraId="71AB42B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 w:cs="Sylfaen"/>
                <w:sz w:val="16"/>
                <w:szCs w:val="14"/>
                <w:lang w:eastAsia="ru-RU"/>
              </w:rPr>
              <w:t>Հայտերի մերժման այլ հիմքեր</w:t>
            </w:r>
          </w:p>
        </w:tc>
      </w:tr>
      <w:tr w:rsidR="006310AE" w:rsidRPr="00EC30A8" w14:paraId="617248CD" w14:textId="77777777" w:rsidTr="00050641">
        <w:trPr>
          <w:trHeight w:val="289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515C769" w14:textId="77777777" w:rsidTr="00050641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C53CCF1" w:rsidR="006310AE" w:rsidRPr="001D08B8" w:rsidRDefault="00AB66B3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17</w:t>
            </w:r>
            <w:r w:rsidR="0017356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.11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.2025թ..</w:t>
            </w:r>
          </w:p>
        </w:tc>
      </w:tr>
      <w:tr w:rsidR="006310AE" w:rsidRPr="00EC30A8" w14:paraId="71BEA872" w14:textId="77777777" w:rsidTr="00050641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F2D9A84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38D7705" w:rsidR="006310AE" w:rsidRPr="00EC30A8" w:rsidRDefault="006310AE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Անգործության ժամկետի ավարտ</w:t>
            </w:r>
          </w:p>
        </w:tc>
      </w:tr>
      <w:tr w:rsidR="006310AE" w:rsidRPr="005A33B0" w14:paraId="04C80107" w14:textId="77777777" w:rsidTr="00050641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303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B2202" w14:textId="3BDE5159" w:rsidR="006310AE" w:rsidRPr="007C05CA" w:rsidRDefault="008742A7" w:rsidP="008742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.11.2025թ..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28F57FA" w:rsidR="006310AE" w:rsidRPr="00F008E4" w:rsidRDefault="008742A7" w:rsidP="008742A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28</w:t>
            </w: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.11.2025թ..</w:t>
            </w:r>
          </w:p>
        </w:tc>
      </w:tr>
      <w:tr w:rsidR="006310AE" w:rsidRPr="005A33B0" w14:paraId="2254FA5C" w14:textId="77777777" w:rsidTr="00050641">
        <w:trPr>
          <w:trHeight w:val="344"/>
        </w:trPr>
        <w:tc>
          <w:tcPr>
            <w:tcW w:w="8010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7DCBB28" w14:textId="7A8CD2E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                                      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8D23F53" w:rsidR="006310AE" w:rsidRPr="00EC30A8" w:rsidRDefault="00AB66B3" w:rsidP="001048CC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04.12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6310AE" w:rsidRPr="00914DD5" w14:paraId="2112129F" w14:textId="77777777" w:rsidTr="00050641">
        <w:trPr>
          <w:trHeight w:val="344"/>
        </w:trPr>
        <w:tc>
          <w:tcPr>
            <w:tcW w:w="801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517AD" w14:textId="3D338EE2" w:rsidR="006310AE" w:rsidRPr="00914DD5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7A1F5E" w14:textId="6736B94C" w:rsidR="006310AE" w:rsidRPr="006310AE" w:rsidRDefault="000A7AC4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11</w:t>
            </w:r>
            <w:r w:rsidR="0017356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.12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6310AE" w:rsidRPr="00EC30A8" w14:paraId="0682C6BE" w14:textId="77777777" w:rsidTr="00050641">
        <w:trPr>
          <w:trHeight w:val="344"/>
        </w:trPr>
        <w:tc>
          <w:tcPr>
            <w:tcW w:w="801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914DD5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Պատվիրատուի կողմից պայմա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նագրի ստորագրման ամսաթիվը</w:t>
            </w:r>
          </w:p>
        </w:tc>
        <w:tc>
          <w:tcPr>
            <w:tcW w:w="31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A86FA79" w:rsidR="006310AE" w:rsidRPr="00296076" w:rsidRDefault="000A7AC4" w:rsidP="006310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15</w:t>
            </w:r>
            <w:r w:rsidR="0017356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.12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.2025թ.</w:t>
            </w:r>
          </w:p>
        </w:tc>
      </w:tr>
      <w:tr w:rsidR="006310AE" w:rsidRPr="00EC30A8" w14:paraId="79A64497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620F225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4E4EA255" w14:textId="77777777" w:rsidTr="00050641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34" w:type="dxa"/>
            <w:gridSpan w:val="28"/>
            <w:shd w:val="clear" w:color="auto" w:fill="auto"/>
            <w:vAlign w:val="center"/>
          </w:tcPr>
          <w:p w14:paraId="0A5086C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Պ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ru-RU" w:eastAsia="ru-RU"/>
              </w:rPr>
              <w:t>այմանագ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րի</w:t>
            </w:r>
          </w:p>
        </w:tc>
      </w:tr>
      <w:tr w:rsidR="006310AE" w:rsidRPr="00EC30A8" w14:paraId="11F19FA1" w14:textId="77777777" w:rsidTr="00050641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2856C5C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Պայմանագրի համարը</w:t>
            </w:r>
          </w:p>
        </w:tc>
        <w:tc>
          <w:tcPr>
            <w:tcW w:w="1355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Կնքման ամսաթիվը</w:t>
            </w:r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7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Կանխա-վճարի չափը</w:t>
            </w: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0911FBB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Գինը</w:t>
            </w:r>
          </w:p>
        </w:tc>
      </w:tr>
      <w:tr w:rsidR="006310AE" w:rsidRPr="00EC30A8" w14:paraId="4DC53241" w14:textId="77777777" w:rsidTr="00050641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shd w:val="clear" w:color="auto" w:fill="auto"/>
            <w:vAlign w:val="center"/>
          </w:tcPr>
          <w:p w14:paraId="078A8417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6"/>
            <w:vMerge/>
            <w:shd w:val="clear" w:color="auto" w:fill="auto"/>
            <w:vAlign w:val="center"/>
          </w:tcPr>
          <w:p w14:paraId="7FDD9C2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14:paraId="73BBD2A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4"/>
            <w:vMerge/>
            <w:shd w:val="clear" w:color="auto" w:fill="auto"/>
            <w:vAlign w:val="center"/>
          </w:tcPr>
          <w:p w14:paraId="078CB50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113" w:type="dxa"/>
            <w:gridSpan w:val="5"/>
            <w:shd w:val="clear" w:color="auto" w:fill="auto"/>
            <w:vAlign w:val="center"/>
          </w:tcPr>
          <w:p w14:paraId="3C0959C2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ՀՀ դրամ</w:t>
            </w:r>
          </w:p>
        </w:tc>
      </w:tr>
      <w:tr w:rsidR="006310AE" w:rsidRPr="00EC30A8" w14:paraId="75FDA7D8" w14:textId="77777777" w:rsidTr="00050641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4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5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3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89A8C4E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6310AE" w:rsidRPr="00626694" w14:paraId="1E28D31D" w14:textId="77777777" w:rsidTr="00050641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4"/>
            <w:shd w:val="clear" w:color="auto" w:fill="auto"/>
            <w:vAlign w:val="center"/>
          </w:tcPr>
          <w:p w14:paraId="391CD0D1" w14:textId="05E92463" w:rsidR="006310AE" w:rsidRPr="00EC30A8" w:rsidRDefault="00AB66B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66B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ԱՐՄԵՆԻԱ ԻՆՇՈՒՐԱՆՍ Ապահովագրական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11823C4" w:rsidR="006310AE" w:rsidRPr="0062669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  </w:t>
            </w:r>
            <w:r w:rsidR="00A91D71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 xml:space="preserve"> </w:t>
            </w:r>
            <w:r w:rsidR="003B0849">
              <w:rPr>
                <w:rFonts w:ascii="GHEA Grapalat" w:eastAsia="Times New Roman" w:hAnsi="GHEA Grapalat"/>
                <w:b/>
                <w:sz w:val="16"/>
                <w:szCs w:val="14"/>
                <w:lang w:val="af-ZA" w:eastAsia="ru-RU"/>
              </w:rPr>
              <w:t>ՀՀ ՆԳՆ ԳՀԾՁԲ-2026/Ա-1</w:t>
            </w:r>
          </w:p>
        </w:tc>
        <w:tc>
          <w:tcPr>
            <w:tcW w:w="1355" w:type="dxa"/>
            <w:gridSpan w:val="6"/>
            <w:shd w:val="clear" w:color="auto" w:fill="auto"/>
            <w:vAlign w:val="center"/>
          </w:tcPr>
          <w:p w14:paraId="54F54951" w14:textId="74239713" w:rsidR="006310AE" w:rsidRPr="00F008E4" w:rsidRDefault="000A7AC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15</w:t>
            </w:r>
            <w:r w:rsidR="0017356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.12</w:t>
            </w:r>
            <w:r w:rsidR="006310AE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.2025</w:t>
            </w:r>
            <w:r w:rsidR="006310AE" w:rsidRPr="00296076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թ.</w:t>
            </w:r>
          </w:p>
        </w:tc>
        <w:tc>
          <w:tcPr>
            <w:tcW w:w="1620" w:type="dxa"/>
            <w:gridSpan w:val="5"/>
            <w:shd w:val="clear" w:color="auto" w:fill="auto"/>
            <w:vAlign w:val="center"/>
          </w:tcPr>
          <w:p w14:paraId="610A7BBF" w14:textId="45883803" w:rsidR="006310AE" w:rsidRPr="004E0E4A" w:rsidRDefault="000A7AC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  <w:r w:rsidRPr="000A7AC4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Համաձայնագիրը ուժի մեջ մտնելուց հետո 1 տարի ժամկետով</w:t>
            </w:r>
          </w:p>
        </w:tc>
        <w:tc>
          <w:tcPr>
            <w:tcW w:w="757" w:type="dxa"/>
            <w:gridSpan w:val="4"/>
            <w:shd w:val="clear" w:color="auto" w:fill="auto"/>
            <w:vAlign w:val="center"/>
          </w:tcPr>
          <w:p w14:paraId="6A3A27A0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313" w:type="dxa"/>
            <w:gridSpan w:val="4"/>
            <w:shd w:val="clear" w:color="auto" w:fill="auto"/>
            <w:vAlign w:val="center"/>
          </w:tcPr>
          <w:p w14:paraId="540F0BC7" w14:textId="2FF45033" w:rsidR="006310AE" w:rsidRPr="00AE2B02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043A549" w14:textId="7FD120B5" w:rsidR="006310AE" w:rsidRPr="002A0AA7" w:rsidRDefault="000A7AC4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 w:rsidRPr="000A7AC4"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11 457 000</w:t>
            </w:r>
          </w:p>
        </w:tc>
      </w:tr>
      <w:tr w:rsidR="006310AE" w:rsidRPr="00EC30A8" w14:paraId="41E4ED39" w14:textId="77777777" w:rsidTr="00050641">
        <w:trPr>
          <w:trHeight w:val="150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7265AE84" w14:textId="0F645641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>
              <w:br w:type="page"/>
            </w: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310AE" w:rsidRPr="00EC30A8" w14:paraId="1F657639" w14:textId="77777777" w:rsidTr="00050641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Ընտրված մասնակիցը</w:t>
            </w: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Հասցե, հեռ.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Էլ.-փոստ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Բանկային հաշիվը</w:t>
            </w:r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5EC62E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6310AE" w:rsidRPr="004178CF" w14:paraId="6F1BA40F" w14:textId="77777777" w:rsidTr="00050641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3E3B3B" w14:textId="059784E1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731410" w14:textId="42410814" w:rsidR="006310AE" w:rsidRPr="00137E20" w:rsidRDefault="00AB66B3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AB66B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ԱՐՄԵՆԻԱ ԻՆՇՈՒՐԱՆՍ Ապահովագրական ՍՊԸ</w:t>
            </w:r>
          </w:p>
        </w:tc>
        <w:tc>
          <w:tcPr>
            <w:tcW w:w="28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5642F" w14:textId="34272ADE" w:rsidR="006310AE" w:rsidRPr="00137E20" w:rsidRDefault="004178CF" w:rsidP="004178C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178CF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ՀՀ, ք. Երևան, Վարդանանց 16, Հեռ.` 011/012 56 04 04, </w:t>
            </w:r>
          </w:p>
        </w:tc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7125A9" w14:textId="37C24D95" w:rsidR="006310AE" w:rsidRPr="004178CF" w:rsidRDefault="004178CF" w:rsidP="006310AE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8" w:history="1">
              <w:r w:rsidRPr="00771A0E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corporate-ins@armeniainsurance.am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BE7BEB" w14:textId="62CA74BF" w:rsidR="006310AE" w:rsidRDefault="00E53DBD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53DBD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2470100507450000</w:t>
            </w:r>
            <w:bookmarkStart w:id="0" w:name="_GoBack"/>
            <w:bookmarkEnd w:id="0"/>
          </w:p>
        </w:tc>
        <w:tc>
          <w:tcPr>
            <w:tcW w:w="18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4B0B3" w14:textId="4425F9AB" w:rsidR="006310AE" w:rsidRDefault="0040246B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0246B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02574465</w:t>
            </w:r>
          </w:p>
        </w:tc>
      </w:tr>
      <w:tr w:rsidR="006310AE" w:rsidRPr="004178CF" w14:paraId="496A046D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393BE26B" w14:textId="77777777" w:rsidR="006310AE" w:rsidRPr="00F008E4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3B0849" w14:paraId="3863A00B" w14:textId="77777777" w:rsidTr="000506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310AE" w:rsidRPr="00586193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586193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1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310AE" w:rsidRPr="00EC30A8" w:rsidRDefault="006310AE" w:rsidP="006310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Ծանոթություն` 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EC30A8">
              <w:rPr>
                <w:rFonts w:ascii="GHEA Grapalat" w:eastAsia="Times New Roman" w:hAnsi="GHEA Grapalat" w:cs="Arial Armenian"/>
                <w:sz w:val="16"/>
                <w:szCs w:val="14"/>
                <w:lang w:val="hy-AM" w:eastAsia="ru-RU"/>
              </w:rPr>
              <w:t>։</w:t>
            </w:r>
          </w:p>
        </w:tc>
      </w:tr>
      <w:tr w:rsidR="006310AE" w:rsidRPr="003B0849" w14:paraId="485BF528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60FF974B" w14:textId="77777777" w:rsidR="006310AE" w:rsidRPr="00465C3A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3B0849" w14:paraId="7DB42300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0AD8E25E" w14:textId="303DA593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</w:t>
            </w:r>
            <w:r w:rsidRPr="00BD7385">
              <w:rPr>
                <w:lang w:val="hy-AM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կարող են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10 օրացուցային օրվա ընթացքում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, 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ինչպես նաև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վարվող ցուցակում ընդգրկված՝ Հայաստանի Հանրապետությունում պետական գրանցում ստացած հասարակական կազմակերպությունների ներկայացուցիչները, լրատվական գործունեություն իրականացնող անձինք կամ վերջիններիս ներկայացուցիչները (այսուհետ՝ դիտորդներ)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պատասխանատու ստորաբաժանման հետ համատեղ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կարող են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մասնակցել պայմանագրի արդյունքի ընդունման գործընթացին: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</w:p>
          <w:p w14:paraId="3D70D3AA" w14:textId="1442ECAA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6310AE" w:rsidRPr="00465C3A" w:rsidRDefault="006310AE" w:rsidP="006310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2) ինչպես գործընթացին մասնակցելու պահանջ ներկայացրած, այնպես էլ  լիազորված ֆիզիկական անձանց կողմից ստորագրված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lastRenderedPageBreak/>
              <w:t>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6310AE" w:rsidRPr="00465C3A" w:rsidRDefault="006310AE" w:rsidP="006310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2C675C0B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–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Հայաստանի Հանրապետությունում պետական գրանցում ստացած հասարակական կազմակերպությունների և լրատվական գործունեություն իրականացնող անձանց դեպքում</w:t>
            </w:r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՝</w:t>
            </w:r>
            <w:r w:rsidRPr="00BD7385">
              <w:rPr>
                <w:lang w:val="hy-AM"/>
              </w:rPr>
              <w:t xml:space="preserve"> </w:t>
            </w:r>
            <w:r w:rsidRPr="00BD7385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ՀՀ ֆինանսների նախարարության կողմից տրամադրված վկայականը՝ կնքված վերջինիս կնիքով, և իրենց անձը հաստատող փաստաթուղթը։</w:t>
            </w:r>
          </w:p>
          <w:p w14:paraId="366938C8" w14:textId="11B78092" w:rsidR="006310AE" w:rsidRPr="00465C3A" w:rsidRDefault="006310AE" w:rsidP="006310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B2A71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hyperlink r:id="rId9" w:history="1">
              <w:r w:rsidRPr="00177BF8">
                <w:rPr>
                  <w:rStyle w:val="Hyperlink"/>
                  <w:rFonts w:ascii="GHEA Grapalat" w:eastAsia="Times New Roman" w:hAnsi="GHEA Grapalat"/>
                  <w:b/>
                  <w:sz w:val="16"/>
                  <w:szCs w:val="14"/>
                  <w:lang w:val="hy-AM" w:eastAsia="ru-RU"/>
                </w:rPr>
                <w:t>tv_auto@police.am</w:t>
              </w:r>
            </w:hyperlink>
            <w:r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 </w:t>
            </w:r>
            <w:r w:rsidRPr="00BB2A71">
              <w:rPr>
                <w:lang w:val="hy-AM"/>
              </w:rPr>
              <w:t xml:space="preserve">  </w:t>
            </w:r>
            <w:r w:rsidRPr="00465C3A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:</w:t>
            </w:r>
          </w:p>
        </w:tc>
      </w:tr>
      <w:tr w:rsidR="006310AE" w:rsidRPr="003B0849" w14:paraId="3CC8B38C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02AFA8BF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27E950AD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3B0849" w14:paraId="5484FA73" w14:textId="77777777" w:rsidTr="00050641">
        <w:trPr>
          <w:trHeight w:val="439"/>
        </w:trPr>
        <w:tc>
          <w:tcPr>
            <w:tcW w:w="5490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40C6E1FF" w:rsidR="006310AE" w:rsidRPr="005231D0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5231D0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«Գնումների մասին» ՀՀ օրենքի 22-րդ հոդված</w:t>
            </w:r>
          </w:p>
        </w:tc>
      </w:tr>
      <w:tr w:rsidR="006310AE" w:rsidRPr="003B0849" w14:paraId="5A7FED5D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0C88E28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  <w:p w14:paraId="7A66F2DC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3B0849" w14:paraId="40B30E88" w14:textId="77777777" w:rsidTr="00050641">
        <w:trPr>
          <w:trHeight w:val="427"/>
        </w:trPr>
        <w:tc>
          <w:tcPr>
            <w:tcW w:w="5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գործընթացի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շրջանակներում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հակաօրինական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հայտնաբերվելու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դեպքում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այդ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կապակցությամբ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ձեռնարկված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գործողությունների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համառոտ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նկարագիրը</w:t>
            </w:r>
            <w:r w:rsidRPr="00EC30A8">
              <w:rPr>
                <w:rFonts w:ascii="GHEA Grapalat" w:eastAsia="Times New Roman" w:hAnsi="GHEA Grapalat"/>
                <w:sz w:val="16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8F45A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310AE" w:rsidRPr="003B0849" w14:paraId="541BD7F7" w14:textId="77777777" w:rsidTr="00050641">
        <w:trPr>
          <w:trHeight w:val="288"/>
        </w:trPr>
        <w:tc>
          <w:tcPr>
            <w:tcW w:w="11160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3B0849" w14:paraId="4DE14D25" w14:textId="77777777" w:rsidTr="00050641">
        <w:trPr>
          <w:trHeight w:val="427"/>
        </w:trPr>
        <w:tc>
          <w:tcPr>
            <w:tcW w:w="5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Գնման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465C3A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ընթացակարգի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ներկայացված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բողոքները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և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դրանց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վերաբերյալ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կայացված</w:t>
            </w:r>
            <w:r w:rsidRPr="00EC30A8">
              <w:rPr>
                <w:rFonts w:ascii="GHEA Grapalat" w:eastAsia="Times New Roman" w:hAnsi="GHEA Grapalat" w:cs="Times Armenian"/>
                <w:b/>
                <w:sz w:val="16"/>
                <w:szCs w:val="14"/>
                <w:lang w:val="hy-AM" w:eastAsia="ru-RU"/>
              </w:rPr>
              <w:t xml:space="preserve"> </w:t>
            </w: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9A56C74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 w:rsidRPr="00EC30A8"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Գնման գործընթացի վերաբերյալ բողոքներ չեն ներկայացվել</w:t>
            </w:r>
          </w:p>
        </w:tc>
      </w:tr>
      <w:tr w:rsidR="006310AE" w:rsidRPr="003B0849" w14:paraId="1DAD5D5C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57597369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</w:pPr>
          </w:p>
        </w:tc>
      </w:tr>
      <w:tr w:rsidR="006310AE" w:rsidRPr="00EC30A8" w14:paraId="5F667D89" w14:textId="77777777" w:rsidTr="00050641">
        <w:trPr>
          <w:trHeight w:val="427"/>
        </w:trPr>
        <w:tc>
          <w:tcPr>
            <w:tcW w:w="549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56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</w:p>
        </w:tc>
      </w:tr>
      <w:tr w:rsidR="006310AE" w:rsidRPr="00EC30A8" w14:paraId="406B68D6" w14:textId="77777777" w:rsidTr="00050641">
        <w:trPr>
          <w:trHeight w:val="288"/>
        </w:trPr>
        <w:tc>
          <w:tcPr>
            <w:tcW w:w="11160" w:type="dxa"/>
            <w:gridSpan w:val="33"/>
            <w:shd w:val="clear" w:color="auto" w:fill="99CCFF"/>
            <w:vAlign w:val="center"/>
          </w:tcPr>
          <w:p w14:paraId="79EAD146" w14:textId="77777777" w:rsidR="006310AE" w:rsidRPr="00EC30A8" w:rsidRDefault="006310AE" w:rsidP="006310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</w:p>
        </w:tc>
      </w:tr>
      <w:tr w:rsidR="006310AE" w:rsidRPr="00EC30A8" w14:paraId="1A2BD291" w14:textId="77777777" w:rsidTr="00050641">
        <w:trPr>
          <w:trHeight w:val="227"/>
        </w:trPr>
        <w:tc>
          <w:tcPr>
            <w:tcW w:w="11160" w:type="dxa"/>
            <w:gridSpan w:val="33"/>
            <w:shd w:val="clear" w:color="auto" w:fill="auto"/>
            <w:vAlign w:val="center"/>
          </w:tcPr>
          <w:p w14:paraId="73A19DB3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 w:cs="Sylfaen"/>
                <w:b/>
                <w:sz w:val="16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10AE" w:rsidRPr="00EC30A8" w14:paraId="002AF1AD" w14:textId="77777777" w:rsidTr="00050641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Հեռախոս</w:t>
            </w:r>
          </w:p>
        </w:tc>
        <w:tc>
          <w:tcPr>
            <w:tcW w:w="384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310AE" w:rsidRPr="00EC30A8" w:rsidRDefault="006310AE" w:rsidP="006310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</w:pPr>
            <w:r w:rsidRPr="00EC30A8">
              <w:rPr>
                <w:rFonts w:ascii="GHEA Grapalat" w:eastAsia="Times New Roman" w:hAnsi="GHEA Grapalat"/>
                <w:b/>
                <w:sz w:val="16"/>
                <w:szCs w:val="14"/>
                <w:lang w:eastAsia="ru-RU"/>
              </w:rPr>
              <w:t>Էլ. փոստի հասցեն</w:t>
            </w:r>
          </w:p>
        </w:tc>
      </w:tr>
      <w:tr w:rsidR="006310AE" w:rsidRPr="00EC30A8" w14:paraId="6C6C269C" w14:textId="77777777" w:rsidTr="00050641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14:paraId="0A862370" w14:textId="1512E67F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val="hy-AM" w:eastAsia="ru-RU"/>
              </w:rPr>
              <w:t>Աննա Սարգսյան</w:t>
            </w:r>
          </w:p>
        </w:tc>
        <w:tc>
          <w:tcPr>
            <w:tcW w:w="3985" w:type="dxa"/>
            <w:gridSpan w:val="16"/>
            <w:shd w:val="clear" w:color="auto" w:fill="auto"/>
            <w:vAlign w:val="bottom"/>
          </w:tcPr>
          <w:p w14:paraId="570A2BE5" w14:textId="3AFE0E12" w:rsidR="006310AE" w:rsidRPr="00EC30A8" w:rsidRDefault="006310AE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>010 59 61 52</w:t>
            </w:r>
          </w:p>
        </w:tc>
        <w:tc>
          <w:tcPr>
            <w:tcW w:w="3845" w:type="dxa"/>
            <w:gridSpan w:val="8"/>
            <w:shd w:val="clear" w:color="auto" w:fill="auto"/>
            <w:vAlign w:val="center"/>
          </w:tcPr>
          <w:p w14:paraId="3C42DEDA" w14:textId="0E55F449" w:rsidR="006310AE" w:rsidRPr="00EC30A8" w:rsidRDefault="00AB7057" w:rsidP="006310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</w:pPr>
            <w:hyperlink r:id="rId10" w:history="1">
              <w:r w:rsidR="006310AE" w:rsidRPr="00694680">
                <w:rPr>
                  <w:rStyle w:val="Hyperlink"/>
                  <w:rFonts w:ascii="GHEA Grapalat" w:eastAsia="Times New Roman" w:hAnsi="GHEA Grapalat"/>
                  <w:b/>
                  <w:bCs/>
                  <w:sz w:val="16"/>
                  <w:szCs w:val="14"/>
                  <w:lang w:eastAsia="ru-RU"/>
                </w:rPr>
                <w:t>gnumner@mia.gov.am</w:t>
              </w:r>
            </w:hyperlink>
            <w:r w:rsidR="006310AE">
              <w:t xml:space="preserve"> </w:t>
            </w:r>
          </w:p>
        </w:tc>
      </w:tr>
    </w:tbl>
    <w:p w14:paraId="5047D8E6" w14:textId="77777777" w:rsidR="00B507F3" w:rsidRPr="00DC23A2" w:rsidRDefault="00B507F3" w:rsidP="00B507F3">
      <w:pPr>
        <w:pStyle w:val="NormalWeb"/>
        <w:rPr>
          <w:rFonts w:ascii="GHEA Grapalat" w:hAnsi="GHEA Grapalat"/>
          <w:i/>
          <w:sz w:val="22"/>
        </w:rPr>
      </w:pPr>
      <w:r w:rsidRPr="00DC23A2">
        <w:rPr>
          <w:rFonts w:ascii="GHEA Grapalat" w:hAnsi="GHEA Grapalat"/>
          <w:b/>
          <w:i/>
          <w:sz w:val="22"/>
        </w:rPr>
        <w:t>Պատվիրատու՝</w:t>
      </w:r>
      <w:r w:rsidRPr="00DC23A2">
        <w:rPr>
          <w:rFonts w:ascii="GHEA Grapalat" w:hAnsi="GHEA Grapalat"/>
          <w:i/>
          <w:sz w:val="22"/>
        </w:rPr>
        <w:t xml:space="preserve"> ՀՀ ներքին գործերի նախարարություն</w:t>
      </w:r>
    </w:p>
    <w:sectPr w:rsidR="00B507F3" w:rsidRPr="00DC23A2" w:rsidSect="002D09F8">
      <w:pgSz w:w="11907" w:h="16840" w:code="9"/>
      <w:pgMar w:top="630" w:right="562" w:bottom="54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B4D40" w14:textId="77777777" w:rsidR="00AB7057" w:rsidRDefault="00AB7057" w:rsidP="0022631D">
      <w:pPr>
        <w:spacing w:before="0" w:after="0"/>
      </w:pPr>
      <w:r>
        <w:separator/>
      </w:r>
    </w:p>
  </w:endnote>
  <w:endnote w:type="continuationSeparator" w:id="0">
    <w:p w14:paraId="7692D780" w14:textId="77777777" w:rsidR="00AB7057" w:rsidRDefault="00AB705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FD900" w14:textId="77777777" w:rsidR="00AB7057" w:rsidRDefault="00AB7057" w:rsidP="0022631D">
      <w:pPr>
        <w:spacing w:before="0" w:after="0"/>
      </w:pPr>
      <w:r>
        <w:separator/>
      </w:r>
    </w:p>
  </w:footnote>
  <w:footnote w:type="continuationSeparator" w:id="0">
    <w:p w14:paraId="3631F2FE" w14:textId="77777777" w:rsidR="00AB7057" w:rsidRDefault="00AB7057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F5A58"/>
    <w:multiLevelType w:val="hybridMultilevel"/>
    <w:tmpl w:val="48D44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1351E"/>
    <w:multiLevelType w:val="hybridMultilevel"/>
    <w:tmpl w:val="DB445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0" w15:restartNumberingAfterBreak="0">
    <w:nsid w:val="21044482"/>
    <w:multiLevelType w:val="hybridMultilevel"/>
    <w:tmpl w:val="E468FD32"/>
    <w:lvl w:ilvl="0" w:tplc="E1B68BB4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6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56D26F5C"/>
    <w:multiLevelType w:val="hybridMultilevel"/>
    <w:tmpl w:val="D8DC0D84"/>
    <w:lvl w:ilvl="0" w:tplc="EC10CAFE">
      <w:start w:val="1"/>
      <w:numFmt w:val="decimal"/>
      <w:lvlText w:val="%1."/>
      <w:lvlJc w:val="righ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7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9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7D1D0385"/>
    <w:multiLevelType w:val="hybridMultilevel"/>
    <w:tmpl w:val="BB1EE9B0"/>
    <w:lvl w:ilvl="0" w:tplc="D8746CB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32"/>
  </w:num>
  <w:num w:numId="5">
    <w:abstractNumId w:val="10"/>
  </w:num>
  <w:num w:numId="6">
    <w:abstractNumId w:val="24"/>
  </w:num>
  <w:num w:numId="7">
    <w:abstractNumId w:val="25"/>
  </w:num>
  <w:num w:numId="8">
    <w:abstractNumId w:val="11"/>
  </w:num>
  <w:num w:numId="9">
    <w:abstractNumId w:val="21"/>
  </w:num>
  <w:num w:numId="10">
    <w:abstractNumId w:val="18"/>
  </w:num>
  <w:num w:numId="11">
    <w:abstractNumId w:val="27"/>
  </w:num>
  <w:num w:numId="12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6"/>
  </w:num>
  <w:num w:numId="17">
    <w:abstractNumId w:val="9"/>
  </w:num>
  <w:num w:numId="18">
    <w:abstractNumId w:val="31"/>
  </w:num>
  <w:num w:numId="19">
    <w:abstractNumId w:val="28"/>
  </w:num>
  <w:num w:numId="20">
    <w:abstractNumId w:val="14"/>
  </w:num>
  <w:num w:numId="21">
    <w:abstractNumId w:val="29"/>
  </w:num>
  <w:num w:numId="22">
    <w:abstractNumId w:val="17"/>
  </w:num>
  <w:num w:numId="23">
    <w:abstractNumId w:val="7"/>
  </w:num>
  <w:num w:numId="24">
    <w:abstractNumId w:val="2"/>
  </w:num>
  <w:num w:numId="25">
    <w:abstractNumId w:val="5"/>
  </w:num>
  <w:num w:numId="26">
    <w:abstractNumId w:val="4"/>
  </w:num>
  <w:num w:numId="27">
    <w:abstractNumId w:val="33"/>
  </w:num>
  <w:num w:numId="28">
    <w:abstractNumId w:val="30"/>
  </w:num>
  <w:num w:numId="29">
    <w:abstractNumId w:val="26"/>
  </w:num>
  <w:num w:numId="30">
    <w:abstractNumId w:val="0"/>
  </w:num>
  <w:num w:numId="31">
    <w:abstractNumId w:val="16"/>
  </w:num>
  <w:num w:numId="32">
    <w:abstractNumId w:val="19"/>
  </w:num>
  <w:num w:numId="33">
    <w:abstractNumId w:val="23"/>
  </w:num>
  <w:num w:numId="34">
    <w:abstractNumId w:val="13"/>
  </w:num>
  <w:num w:numId="35">
    <w:abstractNumId w:val="12"/>
  </w:num>
  <w:num w:numId="36">
    <w:abstractNumId w:val="15"/>
  </w:num>
  <w:num w:numId="37">
    <w:abstractNumId w:val="22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55D7"/>
    <w:rsid w:val="00012170"/>
    <w:rsid w:val="00013D30"/>
    <w:rsid w:val="00014E67"/>
    <w:rsid w:val="00031A81"/>
    <w:rsid w:val="00044EA8"/>
    <w:rsid w:val="00046CCF"/>
    <w:rsid w:val="00050641"/>
    <w:rsid w:val="00050FEF"/>
    <w:rsid w:val="00051ECE"/>
    <w:rsid w:val="00063043"/>
    <w:rsid w:val="000642B4"/>
    <w:rsid w:val="0007089E"/>
    <w:rsid w:val="0007090E"/>
    <w:rsid w:val="00073D66"/>
    <w:rsid w:val="000918BA"/>
    <w:rsid w:val="00093FBE"/>
    <w:rsid w:val="0009719A"/>
    <w:rsid w:val="000A5E4F"/>
    <w:rsid w:val="000A7AC4"/>
    <w:rsid w:val="000B0199"/>
    <w:rsid w:val="000B2910"/>
    <w:rsid w:val="000B351A"/>
    <w:rsid w:val="000D167E"/>
    <w:rsid w:val="000D691B"/>
    <w:rsid w:val="000D7148"/>
    <w:rsid w:val="000E1103"/>
    <w:rsid w:val="000E1D30"/>
    <w:rsid w:val="000E4FF1"/>
    <w:rsid w:val="000F376D"/>
    <w:rsid w:val="001021B0"/>
    <w:rsid w:val="001048CC"/>
    <w:rsid w:val="00105981"/>
    <w:rsid w:val="001267FA"/>
    <w:rsid w:val="0013461A"/>
    <w:rsid w:val="00137E20"/>
    <w:rsid w:val="00143648"/>
    <w:rsid w:val="00156C5E"/>
    <w:rsid w:val="00173568"/>
    <w:rsid w:val="0018138F"/>
    <w:rsid w:val="0018422F"/>
    <w:rsid w:val="00196DBB"/>
    <w:rsid w:val="001A1999"/>
    <w:rsid w:val="001A49EE"/>
    <w:rsid w:val="001A7CBE"/>
    <w:rsid w:val="001C1BE1"/>
    <w:rsid w:val="001D08B8"/>
    <w:rsid w:val="001D2F53"/>
    <w:rsid w:val="001E0091"/>
    <w:rsid w:val="001E0833"/>
    <w:rsid w:val="001F46A9"/>
    <w:rsid w:val="00205E07"/>
    <w:rsid w:val="0021290A"/>
    <w:rsid w:val="0022631D"/>
    <w:rsid w:val="00235C0F"/>
    <w:rsid w:val="002513A2"/>
    <w:rsid w:val="002616C4"/>
    <w:rsid w:val="00261F7A"/>
    <w:rsid w:val="002751A4"/>
    <w:rsid w:val="002823E9"/>
    <w:rsid w:val="00284A94"/>
    <w:rsid w:val="002863AD"/>
    <w:rsid w:val="00295B92"/>
    <w:rsid w:val="00296076"/>
    <w:rsid w:val="002A0AA7"/>
    <w:rsid w:val="002D09F8"/>
    <w:rsid w:val="002D1F4D"/>
    <w:rsid w:val="002E4E6F"/>
    <w:rsid w:val="002F16CC"/>
    <w:rsid w:val="002F1FEB"/>
    <w:rsid w:val="003057C4"/>
    <w:rsid w:val="00306798"/>
    <w:rsid w:val="00311ECE"/>
    <w:rsid w:val="003330A9"/>
    <w:rsid w:val="003362F5"/>
    <w:rsid w:val="0033729C"/>
    <w:rsid w:val="00337B7E"/>
    <w:rsid w:val="00341644"/>
    <w:rsid w:val="00354B6C"/>
    <w:rsid w:val="00371B1D"/>
    <w:rsid w:val="003A0346"/>
    <w:rsid w:val="003A245D"/>
    <w:rsid w:val="003B0849"/>
    <w:rsid w:val="003B2758"/>
    <w:rsid w:val="003B43FF"/>
    <w:rsid w:val="003B764D"/>
    <w:rsid w:val="003C5110"/>
    <w:rsid w:val="003D6A82"/>
    <w:rsid w:val="003D6E47"/>
    <w:rsid w:val="003E2E5D"/>
    <w:rsid w:val="003E3D40"/>
    <w:rsid w:val="003E6978"/>
    <w:rsid w:val="0040246B"/>
    <w:rsid w:val="00405A96"/>
    <w:rsid w:val="0041669A"/>
    <w:rsid w:val="004178CF"/>
    <w:rsid w:val="00420FAD"/>
    <w:rsid w:val="00433E3C"/>
    <w:rsid w:val="004407B3"/>
    <w:rsid w:val="0045083A"/>
    <w:rsid w:val="00457EA6"/>
    <w:rsid w:val="00465C3A"/>
    <w:rsid w:val="00467BEB"/>
    <w:rsid w:val="00472069"/>
    <w:rsid w:val="00474C2F"/>
    <w:rsid w:val="00474EE0"/>
    <w:rsid w:val="004750B9"/>
    <w:rsid w:val="004764CD"/>
    <w:rsid w:val="004875E0"/>
    <w:rsid w:val="0049632A"/>
    <w:rsid w:val="00496DD8"/>
    <w:rsid w:val="004A0E9C"/>
    <w:rsid w:val="004A51F0"/>
    <w:rsid w:val="004B0562"/>
    <w:rsid w:val="004B3123"/>
    <w:rsid w:val="004B6EA9"/>
    <w:rsid w:val="004B7A55"/>
    <w:rsid w:val="004C5DC4"/>
    <w:rsid w:val="004C76B0"/>
    <w:rsid w:val="004C7FE2"/>
    <w:rsid w:val="004D078F"/>
    <w:rsid w:val="004E0E4A"/>
    <w:rsid w:val="004E376E"/>
    <w:rsid w:val="004F30B6"/>
    <w:rsid w:val="004F328D"/>
    <w:rsid w:val="004F6A07"/>
    <w:rsid w:val="004F77A1"/>
    <w:rsid w:val="00503007"/>
    <w:rsid w:val="00503BCC"/>
    <w:rsid w:val="0050435B"/>
    <w:rsid w:val="00514B40"/>
    <w:rsid w:val="005231D0"/>
    <w:rsid w:val="00542558"/>
    <w:rsid w:val="00546023"/>
    <w:rsid w:val="00551A6C"/>
    <w:rsid w:val="00556A50"/>
    <w:rsid w:val="00557446"/>
    <w:rsid w:val="00560599"/>
    <w:rsid w:val="005737F9"/>
    <w:rsid w:val="00575BA7"/>
    <w:rsid w:val="00586193"/>
    <w:rsid w:val="005943D1"/>
    <w:rsid w:val="005A0D15"/>
    <w:rsid w:val="005A33B0"/>
    <w:rsid w:val="005A52AB"/>
    <w:rsid w:val="005A5E0B"/>
    <w:rsid w:val="005B3EC9"/>
    <w:rsid w:val="005B781B"/>
    <w:rsid w:val="005B7DB8"/>
    <w:rsid w:val="005C4BE5"/>
    <w:rsid w:val="005D5FBD"/>
    <w:rsid w:val="005E5B07"/>
    <w:rsid w:val="005F6293"/>
    <w:rsid w:val="00602DF2"/>
    <w:rsid w:val="00607C9A"/>
    <w:rsid w:val="00623CF6"/>
    <w:rsid w:val="00626694"/>
    <w:rsid w:val="006310AE"/>
    <w:rsid w:val="00631707"/>
    <w:rsid w:val="006462AB"/>
    <w:rsid w:val="00646760"/>
    <w:rsid w:val="0065269F"/>
    <w:rsid w:val="00657858"/>
    <w:rsid w:val="00666BEE"/>
    <w:rsid w:val="00690ECB"/>
    <w:rsid w:val="006A38B4"/>
    <w:rsid w:val="006B2E21"/>
    <w:rsid w:val="006B5194"/>
    <w:rsid w:val="006B5D8E"/>
    <w:rsid w:val="006C0266"/>
    <w:rsid w:val="006C2709"/>
    <w:rsid w:val="006C5757"/>
    <w:rsid w:val="006D3973"/>
    <w:rsid w:val="006E0D92"/>
    <w:rsid w:val="006E1A83"/>
    <w:rsid w:val="006E22B8"/>
    <w:rsid w:val="006E3A61"/>
    <w:rsid w:val="006F2232"/>
    <w:rsid w:val="006F2779"/>
    <w:rsid w:val="006F2DD8"/>
    <w:rsid w:val="006F54DF"/>
    <w:rsid w:val="007060FC"/>
    <w:rsid w:val="0070702D"/>
    <w:rsid w:val="00717859"/>
    <w:rsid w:val="00717D9B"/>
    <w:rsid w:val="00737755"/>
    <w:rsid w:val="0074248A"/>
    <w:rsid w:val="00753E26"/>
    <w:rsid w:val="00761EB8"/>
    <w:rsid w:val="0076660B"/>
    <w:rsid w:val="007732E7"/>
    <w:rsid w:val="00786046"/>
    <w:rsid w:val="0078682E"/>
    <w:rsid w:val="007B7536"/>
    <w:rsid w:val="007C05CA"/>
    <w:rsid w:val="007C14E6"/>
    <w:rsid w:val="007C5906"/>
    <w:rsid w:val="007D013B"/>
    <w:rsid w:val="007D619C"/>
    <w:rsid w:val="007E5302"/>
    <w:rsid w:val="0081420B"/>
    <w:rsid w:val="008224C0"/>
    <w:rsid w:val="0083404C"/>
    <w:rsid w:val="00841307"/>
    <w:rsid w:val="00852D0A"/>
    <w:rsid w:val="00864686"/>
    <w:rsid w:val="0086490C"/>
    <w:rsid w:val="008742A7"/>
    <w:rsid w:val="00877B3D"/>
    <w:rsid w:val="008824AD"/>
    <w:rsid w:val="008912CA"/>
    <w:rsid w:val="008A2821"/>
    <w:rsid w:val="008A61F5"/>
    <w:rsid w:val="008B33FA"/>
    <w:rsid w:val="008C4E62"/>
    <w:rsid w:val="008D34FA"/>
    <w:rsid w:val="008D3753"/>
    <w:rsid w:val="008E493A"/>
    <w:rsid w:val="00902D78"/>
    <w:rsid w:val="0090543E"/>
    <w:rsid w:val="009065FF"/>
    <w:rsid w:val="0090677D"/>
    <w:rsid w:val="00914DD5"/>
    <w:rsid w:val="00916D37"/>
    <w:rsid w:val="00922E47"/>
    <w:rsid w:val="009264B2"/>
    <w:rsid w:val="00931265"/>
    <w:rsid w:val="00936098"/>
    <w:rsid w:val="00942452"/>
    <w:rsid w:val="0094721D"/>
    <w:rsid w:val="009808F7"/>
    <w:rsid w:val="00981A16"/>
    <w:rsid w:val="00986D85"/>
    <w:rsid w:val="00986FEE"/>
    <w:rsid w:val="009A7008"/>
    <w:rsid w:val="009B5642"/>
    <w:rsid w:val="009B6B8F"/>
    <w:rsid w:val="009C3FFF"/>
    <w:rsid w:val="009C5E0F"/>
    <w:rsid w:val="009C7FCF"/>
    <w:rsid w:val="009E05E9"/>
    <w:rsid w:val="009E75FF"/>
    <w:rsid w:val="009F04DE"/>
    <w:rsid w:val="009F0DC5"/>
    <w:rsid w:val="009F478A"/>
    <w:rsid w:val="00A0228A"/>
    <w:rsid w:val="00A1350B"/>
    <w:rsid w:val="00A14C39"/>
    <w:rsid w:val="00A14E91"/>
    <w:rsid w:val="00A17254"/>
    <w:rsid w:val="00A20CA1"/>
    <w:rsid w:val="00A306F5"/>
    <w:rsid w:val="00A31820"/>
    <w:rsid w:val="00A3708A"/>
    <w:rsid w:val="00A37F9A"/>
    <w:rsid w:val="00A434F6"/>
    <w:rsid w:val="00A436C7"/>
    <w:rsid w:val="00A67FE8"/>
    <w:rsid w:val="00A76924"/>
    <w:rsid w:val="00A83CD0"/>
    <w:rsid w:val="00A91D71"/>
    <w:rsid w:val="00A95E4A"/>
    <w:rsid w:val="00A97834"/>
    <w:rsid w:val="00AA32E4"/>
    <w:rsid w:val="00AB3A8E"/>
    <w:rsid w:val="00AB66B3"/>
    <w:rsid w:val="00AB7057"/>
    <w:rsid w:val="00AC5F37"/>
    <w:rsid w:val="00AD07B9"/>
    <w:rsid w:val="00AD3446"/>
    <w:rsid w:val="00AD59DC"/>
    <w:rsid w:val="00AE2B02"/>
    <w:rsid w:val="00AF6809"/>
    <w:rsid w:val="00B07251"/>
    <w:rsid w:val="00B241DE"/>
    <w:rsid w:val="00B3534A"/>
    <w:rsid w:val="00B45B14"/>
    <w:rsid w:val="00B470E4"/>
    <w:rsid w:val="00B507F3"/>
    <w:rsid w:val="00B52121"/>
    <w:rsid w:val="00B75762"/>
    <w:rsid w:val="00B844E5"/>
    <w:rsid w:val="00B853F1"/>
    <w:rsid w:val="00B871E8"/>
    <w:rsid w:val="00B91DE2"/>
    <w:rsid w:val="00B94EA2"/>
    <w:rsid w:val="00B96CC2"/>
    <w:rsid w:val="00B97C57"/>
    <w:rsid w:val="00BA03B0"/>
    <w:rsid w:val="00BB0A93"/>
    <w:rsid w:val="00BB2A71"/>
    <w:rsid w:val="00BC2EEA"/>
    <w:rsid w:val="00BC35BD"/>
    <w:rsid w:val="00BD3D4E"/>
    <w:rsid w:val="00BD7385"/>
    <w:rsid w:val="00BF1465"/>
    <w:rsid w:val="00BF19BB"/>
    <w:rsid w:val="00BF4745"/>
    <w:rsid w:val="00C07662"/>
    <w:rsid w:val="00C238B5"/>
    <w:rsid w:val="00C44082"/>
    <w:rsid w:val="00C55719"/>
    <w:rsid w:val="00C6283F"/>
    <w:rsid w:val="00C67BA9"/>
    <w:rsid w:val="00C84DF7"/>
    <w:rsid w:val="00C90BAE"/>
    <w:rsid w:val="00C9185A"/>
    <w:rsid w:val="00C95758"/>
    <w:rsid w:val="00C96337"/>
    <w:rsid w:val="00C96BED"/>
    <w:rsid w:val="00CA7118"/>
    <w:rsid w:val="00CB005E"/>
    <w:rsid w:val="00CB13A3"/>
    <w:rsid w:val="00CB44D2"/>
    <w:rsid w:val="00CC1F23"/>
    <w:rsid w:val="00CC5EB7"/>
    <w:rsid w:val="00CD638C"/>
    <w:rsid w:val="00CF1F70"/>
    <w:rsid w:val="00CF20B4"/>
    <w:rsid w:val="00CF67A7"/>
    <w:rsid w:val="00D013CE"/>
    <w:rsid w:val="00D05124"/>
    <w:rsid w:val="00D32791"/>
    <w:rsid w:val="00D350DE"/>
    <w:rsid w:val="00D36189"/>
    <w:rsid w:val="00D57869"/>
    <w:rsid w:val="00D65AA7"/>
    <w:rsid w:val="00D715AF"/>
    <w:rsid w:val="00D779FE"/>
    <w:rsid w:val="00D80C64"/>
    <w:rsid w:val="00D91686"/>
    <w:rsid w:val="00DA47F7"/>
    <w:rsid w:val="00DB2545"/>
    <w:rsid w:val="00DB73FD"/>
    <w:rsid w:val="00DC23A2"/>
    <w:rsid w:val="00DC5C98"/>
    <w:rsid w:val="00DC6929"/>
    <w:rsid w:val="00DD6660"/>
    <w:rsid w:val="00DE06F1"/>
    <w:rsid w:val="00DF45B4"/>
    <w:rsid w:val="00E02BA6"/>
    <w:rsid w:val="00E12C93"/>
    <w:rsid w:val="00E1714A"/>
    <w:rsid w:val="00E23397"/>
    <w:rsid w:val="00E243EA"/>
    <w:rsid w:val="00E2548D"/>
    <w:rsid w:val="00E32156"/>
    <w:rsid w:val="00E3380C"/>
    <w:rsid w:val="00E33A25"/>
    <w:rsid w:val="00E3414B"/>
    <w:rsid w:val="00E36887"/>
    <w:rsid w:val="00E40A23"/>
    <w:rsid w:val="00E4188B"/>
    <w:rsid w:val="00E53DBD"/>
    <w:rsid w:val="00E54C4D"/>
    <w:rsid w:val="00E56328"/>
    <w:rsid w:val="00E74643"/>
    <w:rsid w:val="00E860D0"/>
    <w:rsid w:val="00EA01A2"/>
    <w:rsid w:val="00EA568C"/>
    <w:rsid w:val="00EA767F"/>
    <w:rsid w:val="00EA7CF5"/>
    <w:rsid w:val="00EB4469"/>
    <w:rsid w:val="00EB4734"/>
    <w:rsid w:val="00EB59EE"/>
    <w:rsid w:val="00EB5C8A"/>
    <w:rsid w:val="00EC0E51"/>
    <w:rsid w:val="00EC30A8"/>
    <w:rsid w:val="00EC6C64"/>
    <w:rsid w:val="00EE113C"/>
    <w:rsid w:val="00EF16D0"/>
    <w:rsid w:val="00F008E4"/>
    <w:rsid w:val="00F03287"/>
    <w:rsid w:val="00F03834"/>
    <w:rsid w:val="00F077EA"/>
    <w:rsid w:val="00F10AFE"/>
    <w:rsid w:val="00F14F5B"/>
    <w:rsid w:val="00F31004"/>
    <w:rsid w:val="00F338D8"/>
    <w:rsid w:val="00F343B8"/>
    <w:rsid w:val="00F379EB"/>
    <w:rsid w:val="00F46FE5"/>
    <w:rsid w:val="00F64167"/>
    <w:rsid w:val="00F6673B"/>
    <w:rsid w:val="00F70589"/>
    <w:rsid w:val="00F77AAD"/>
    <w:rsid w:val="00F91317"/>
    <w:rsid w:val="00F916C4"/>
    <w:rsid w:val="00F93A46"/>
    <w:rsid w:val="00FA664F"/>
    <w:rsid w:val="00FB097B"/>
    <w:rsid w:val="00FC5DAD"/>
    <w:rsid w:val="00FC5FD5"/>
    <w:rsid w:val="00FE0F8F"/>
    <w:rsid w:val="00FF2E93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D77FF905-711A-4E1E-AA48-E178E5F7D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9B6B8F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B6B8F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9B6B8F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B6B8F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B6B8F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B6B8F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B6B8F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9B6B8F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0A8"/>
    <w:rPr>
      <w:color w:val="0563C1" w:themeColor="hyperlink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F03834"/>
    <w:rPr>
      <w:rFonts w:ascii="Arial" w:eastAsia="Times New Roman" w:hAnsi="Arial" w:cs="Times New Roman"/>
      <w:color w:val="000000"/>
      <w:shd w:val="clear" w:color="auto" w:fill="FFFFFF"/>
      <w:lang w:val="ru-RU" w:eastAsia="ru-RU"/>
    </w:rPr>
  </w:style>
  <w:style w:type="paragraph" w:styleId="BodyText">
    <w:name w:val="Body Text"/>
    <w:basedOn w:val="Normal"/>
    <w:link w:val="BodyTextChar"/>
    <w:rsid w:val="00F03834"/>
    <w:pPr>
      <w:shd w:val="clear" w:color="auto" w:fill="FFFFFF"/>
      <w:suppressAutoHyphens/>
      <w:spacing w:before="0" w:after="0"/>
      <w:ind w:left="0" w:firstLine="0"/>
      <w:jc w:val="center"/>
    </w:pPr>
    <w:rPr>
      <w:rFonts w:ascii="Arial" w:eastAsia="Times New Roman" w:hAnsi="Arial"/>
      <w:color w:val="000000"/>
      <w:lang w:val="ru-RU" w:eastAsia="ru-RU"/>
    </w:rPr>
  </w:style>
  <w:style w:type="character" w:customStyle="1" w:styleId="BodyTextChar1">
    <w:name w:val="Body Text Char1"/>
    <w:basedOn w:val="DefaultParagraphFont"/>
    <w:uiPriority w:val="99"/>
    <w:semiHidden/>
    <w:rsid w:val="00F03834"/>
    <w:rPr>
      <w:rFonts w:ascii="Calibri" w:eastAsia="Calibri" w:hAnsi="Calibri" w:cs="Times New Roman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B507F3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</w:rPr>
  </w:style>
  <w:style w:type="table" w:customStyle="1" w:styleId="1">
    <w:name w:val="Сетка таблицы1"/>
    <w:basedOn w:val="TableNormal"/>
    <w:next w:val="TableGrid"/>
    <w:uiPriority w:val="59"/>
    <w:rsid w:val="0018138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8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37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9B6B8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9B6B8F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B6B8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B6B8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B6B8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B6B8F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9B6B8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uiPriority w:val="99"/>
    <w:semiHidden/>
    <w:unhideWhenUsed/>
    <w:rsid w:val="009B6B8F"/>
  </w:style>
  <w:style w:type="paragraph" w:styleId="BodyTextIndent">
    <w:name w:val="Body Text Indent"/>
    <w:aliases w:val=" Char, Char Char Char Char,Char Char Char Char"/>
    <w:basedOn w:val="Normal"/>
    <w:link w:val="BodyTextIndentChar"/>
    <w:rsid w:val="009B6B8F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B6B8F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rsid w:val="009B6B8F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B6B8F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9B6B8F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B6B8F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B6B8F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9B6B8F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9B6B8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9B6B8F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9B6B8F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9B6B8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Index1">
    <w:name w:val="index 1"/>
    <w:basedOn w:val="Normal"/>
    <w:next w:val="Normal"/>
    <w:autoRedefine/>
    <w:semiHidden/>
    <w:rsid w:val="009B6B8F"/>
    <w:pPr>
      <w:spacing w:before="0" w:after="0"/>
      <w:ind w:left="240" w:hanging="240"/>
    </w:pPr>
    <w:rPr>
      <w:rFonts w:ascii="Times New Roman" w:eastAsia="Times New Roman" w:hAnsi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9B6B8F"/>
    <w:pPr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9B6B8F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B6B8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9B6B8F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B6B8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B6B8F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B6B8F"/>
  </w:style>
  <w:style w:type="paragraph" w:customStyle="1" w:styleId="CharCharCharCharCharCharCharCharCharCharCharChar">
    <w:name w:val="Char Char Char Char Char Char Char Char Char Char Char Char"/>
    <w:basedOn w:val="Normal"/>
    <w:rsid w:val="009B6B8F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B6B8F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9B6B8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9B6B8F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9B6B8F"/>
    <w:rPr>
      <w:b/>
      <w:bCs/>
    </w:rPr>
  </w:style>
  <w:style w:type="character" w:customStyle="1" w:styleId="CharChar22">
    <w:name w:val="Char Char22"/>
    <w:rsid w:val="009B6B8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9B6B8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9B6B8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9B6B8F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9B6B8F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9B6B8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B6B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B6B8F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9B6B8F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9B6B8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9B6B8F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9B6B8F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9B6B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semiHidden/>
    <w:rsid w:val="009B6B8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TableGrid2">
    <w:name w:val="Table Grid2"/>
    <w:basedOn w:val="TableNormal"/>
    <w:next w:val="TableGrid"/>
    <w:uiPriority w:val="39"/>
    <w:rsid w:val="009B6B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9B6B8F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Normal"/>
    <w:rsid w:val="009B6B8F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9B6B8F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9B6B8F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9B6B8F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9B6B8F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B6B8F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B6B8F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9B6B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9B6B8F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9B6B8F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Normal"/>
    <w:rsid w:val="009B6B8F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9B6B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9B6B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9B6B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9B6B8F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9B6B8F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uiPriority w:val="99"/>
    <w:rsid w:val="009B6B8F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9B6B8F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9B6B8F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9B6B8F"/>
    <w:pPr>
      <w:spacing w:before="0" w:after="160" w:line="240" w:lineRule="exact"/>
      <w:ind w:left="0" w:firstLine="0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9B6B8F"/>
    <w:rPr>
      <w:rFonts w:ascii="Calibri" w:eastAsia="Calibri" w:hAnsi="Calibri" w:cs="Times New Roman"/>
    </w:rPr>
  </w:style>
  <w:style w:type="character" w:styleId="Emphasis">
    <w:name w:val="Emphasis"/>
    <w:qFormat/>
    <w:rsid w:val="009B6B8F"/>
    <w:rPr>
      <w:i/>
      <w:iCs/>
    </w:rPr>
  </w:style>
  <w:style w:type="character" w:customStyle="1" w:styleId="UnresolvedMention1">
    <w:name w:val="Unresolved Mention1"/>
    <w:uiPriority w:val="99"/>
    <w:semiHidden/>
    <w:unhideWhenUsed/>
    <w:rsid w:val="009B6B8F"/>
    <w:rPr>
      <w:color w:val="605E5C"/>
      <w:shd w:val="clear" w:color="auto" w:fill="E1DFDD"/>
    </w:rPr>
  </w:style>
  <w:style w:type="character" w:customStyle="1" w:styleId="CharChar4">
    <w:name w:val="Char Char4"/>
    <w:locked/>
    <w:rsid w:val="009B6B8F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9B6B8F"/>
    <w:rPr>
      <w:sz w:val="24"/>
      <w:szCs w:val="24"/>
      <w:lang w:val="en-US" w:eastAsia="en-US" w:bidi="ar-SA"/>
    </w:rPr>
  </w:style>
  <w:style w:type="paragraph" w:customStyle="1" w:styleId="msonormal0">
    <w:name w:val="msonormal"/>
    <w:basedOn w:val="Normal"/>
    <w:rsid w:val="009B6B8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xl76">
    <w:name w:val="xl76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7">
    <w:name w:val="xl77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9B6B8F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left="0" w:firstLineChars="100" w:firstLine="10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9B6B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9B6B8F"/>
    <w:pPr>
      <w:spacing w:before="100" w:beforeAutospacing="1" w:after="100" w:afterAutospacing="1"/>
      <w:ind w:left="0" w:firstLine="0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Normal"/>
    <w:rsid w:val="009B6B8F"/>
    <w:pPr>
      <w:pBdr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Normal"/>
    <w:rsid w:val="009B6B8F"/>
    <w:pP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9B6B8F"/>
    <w:pPr>
      <w:pBdr>
        <w:bottom w:val="single" w:sz="8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GHEA Grapalat" w:eastAsia="Times New Roman" w:hAnsi="GHEA Grapala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-ins@armeniainsuranc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i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v_auto@pol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C0F00-FF74-487E-8F0D-379FE7F1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3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Sargsyan</cp:lastModifiedBy>
  <cp:revision>289</cp:revision>
  <cp:lastPrinted>2025-09-16T06:18:00Z</cp:lastPrinted>
  <dcterms:created xsi:type="dcterms:W3CDTF">2021-06-28T12:08:00Z</dcterms:created>
  <dcterms:modified xsi:type="dcterms:W3CDTF">2025-12-16T07:51:00Z</dcterms:modified>
</cp:coreProperties>
</file>