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ОБЪЯВЛЕНИЕ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О ПРОЦЕДУРЕ ПРЕДВАРИТЕЛЬНОЙ КВАЛИФИКАЦИИ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312B1D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>Данный текст объявления утвержден решением комиссии по оценке открытого тендера № 1 от 18 февраля 2026 года и публикуется.</w:t>
      </w:r>
    </w:p>
    <w:p w:rsidR="00A850D5" w:rsidRPr="00312B1D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>Согласно статье 24 Закона Республики Армения «О закупках»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bookmarkStart w:id="0" w:name="_GoBack"/>
      <w:bookmarkEnd w:id="0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Код процедуры: </w:t>
      </w:r>
      <w:r w:rsidR="00EE6421" w:rsidRPr="00EE642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ՀՀ-ԱՄ-ԱՀ-ԲՄԽԾՁԲ-09/26</w:t>
      </w:r>
    </w:p>
    <w:p w:rsidR="00A850D5" w:rsidRPr="00A850D5" w:rsidRDefault="00A850D5" w:rsidP="00A850D5">
      <w:pPr>
        <w:spacing w:after="0" w:line="240" w:lineRule="auto"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I. ОПИСАНИЕ ПРИОБРЕТАЕМОГО ТОВАРА</w:t>
      </w:r>
    </w:p>
    <w:p w:rsidR="00A850D5" w:rsidRPr="00A850D5" w:rsidRDefault="00A850D5" w:rsidP="00A850D5">
      <w:pPr>
        <w:spacing w:after="0" w:line="240" w:lineRule="auto"/>
        <w:ind w:firstLine="708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1. Заказчик, муниципалитет Апапарана, расположенный по адресу: улица Баграмян, 26, Апаран, Арагацотнский район, РА, объявляет о проведении процедуры предварительной квалификации в соответствии со статьей 43 Закона РА «О закупках» и в соответствии с порядком, установленным статьей 44, часть 1, пункт 1, с целью определения потенциальных участников для приобретения услуги.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II. УСЛОВИЯ УЧАСТИЯ В ПРОЦЕДУРЕ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2. 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3. Участник, желающий принять участие в процедуре предварительной квалификации, должен: 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соответствует квалификационному критерию «Соответствие профессиональной деятельности деятельности, предусмотренной договором», изложенному в статье 6, части 3, пункте 1 Закона Республики Армения «О закупках». Кроме того, в рамках данной процедуры закупок аналогичные</w:t>
      </w:r>
      <w:r w:rsidR="00312B1D" w:rsidRPr="00312B1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государственное управление или</w:t>
      </w:r>
      <w:r w:rsidR="00312B1D" w:rsidRPr="00312B1D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312B1D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местные органы власти</w:t>
      </w:r>
      <w:r w:rsidR="00000253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предоставление юридических консультационных услуг.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Участник считается соответствующим квалификационным критериям, изложенным в данном подпункте, если он/она предоставил(а) необходимую информацию в заявке: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4. Участники могут принимать участие в процедуре предварительной квалификации в составе совместного предприятия (консорциума). В таком случае: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1) Заявка на предварительную квалификацию также включает соглашение о совместной деятельности.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2) При оценке заявки на предварительную квалификацию учитываются совокупные квалификации всех участников соглашения о совместной деятельности (квалификация каждого участника соглашения о совместной деятельности должна соответствовать квалификационным требованиям, установленным настоящим приглашением, и приниматься на себя данным участником в рамках этого соглашения).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3) участники несут солидарную ответственность.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4) Сторона (стороны) соглашения о совместной деятельности не может подавать отдельные заявки на участие в одной и той же процедуре.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5) В случае выхода участника консорциума из него, договор, заключенный заказчиком с консорциумом, расторгается в одностороннем порядке, и к участникам консорциума применяются предусмотренные в договоре меры ответственности.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5. В ходе проведения открытого конкурса участники могут получить доступ к информации, содержащей государственную тайну, или им может быть передана такая информация, разглашение которой (в любой форме) другому лицу (включая родственников) может повлечь за собой ответственность в соответствии с законодательством Республики Армения.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III. УТОЧНЕНИЕ В ПОЛУЧЕНИИ И ЗАЯВЛЕНИИ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EE6421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ИЗМЕНЯТЬ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ВЫПОЛНИТЬ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ОРДЕН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6.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Участник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верно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имеет право запросить в письменной форме разъяснение относительно объявления о предварительной квалификации не позднее чем за пять календарных дней до крайнего срока подачи заявок на предварительную </w:t>
      </w:r>
      <w:proofErr w:type="spellStart"/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квалификацию.</w:t>
      </w:r>
      <w:r w:rsidRPr="00EE6421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>ЧАС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инъекция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сделанный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>м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тому же человеку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уточнение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обеспечение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Запрос оформлен в письменном виде?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получить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 тот день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в течение следующих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lastRenderedPageBreak/>
        <w:t xml:space="preserve">двух календарных </w:t>
      </w:r>
      <w:proofErr w:type="spellStart"/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дней</w:t>
      </w:r>
      <w:proofErr w:type="gramStart"/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.П</w:t>
      </w:r>
      <w:proofErr w:type="gramEnd"/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ри</w:t>
      </w:r>
      <w:proofErr w:type="spellEnd"/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 предоставлении информации о каком-либо участнике клиент должен обеспечить доступ к этой информации всем потенциальным участникам.</w:t>
      </w:r>
    </w:p>
    <w:p w:rsidR="00A850D5" w:rsidRPr="00A850D5" w:rsidRDefault="00A850D5" w:rsidP="00A85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r w:rsidRPr="00EE6421">
        <w:rPr>
          <w:rFonts w:ascii="GHEA Grapalat" w:eastAsia="Times New Roman" w:hAnsi="GHEA Grapalat" w:cs="Arial"/>
          <w:color w:val="000000"/>
          <w:sz w:val="20"/>
          <w:szCs w:val="24"/>
          <w:lang w:val="ru-RU"/>
        </w:rPr>
        <w:t>Если запрос, упомянутый в этом пункте, отправлен по электронной почте, участник должен отправить распечатанную версию оригинала на электронный адрес секретаря комитета.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r w:rsidRPr="00EE6421">
        <w:rPr>
          <w:rFonts w:ascii="GHEA Grapalat" w:eastAsia="Times New Roman" w:hAnsi="GHEA Grapalat" w:cs="Arial"/>
          <w:color w:val="000000"/>
          <w:sz w:val="20"/>
          <w:szCs w:val="24"/>
          <w:lang w:val="ru-RU"/>
        </w:rPr>
        <w:t>В случае отправки запроса по электронной почте, распечатанная версия оригинала письма с разъяснениями должна быть направлена ​​секретарю комитета путем отправки запроса с адреса электронной почты, указанного в данном приглашении, на адрес электронной почты участника, на который был получен запрос.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7.</w:t>
      </w:r>
      <w:r w:rsidRPr="00A850D5">
        <w:rPr>
          <w:rFonts w:ascii="Calibri" w:eastAsia="Times New Roman" w:hAnsi="Calibri" w:cs="Times New Roman"/>
          <w:color w:val="000000"/>
          <w:sz w:val="21"/>
          <w:szCs w:val="21"/>
          <w:lang w:val="hy-AM"/>
        </w:rPr>
        <w:t>ЧАС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Уведомление о содержании запроса и разъяснениях публикуется в бюллетене в день предоставления разъяснений участнику, направившему запрос, без указания данных участника, направившего запрос, а в случае закупок, содержащих государственную тайну, разъяснение о содержании запроса и разъяснениях предоставляется участникам, получившим приглашение.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8. Разъяснение не предоставляется, если запрос был подан с нарушением сроков, установленных в данном разделе, а также если запрос выходит за рамки содержания данного объявления. Кроме того, участник будет уведомлен в письменной форме об основаниях для непредоставления разъяснения в течение двух календарных дней с даты получения запроса.</w:t>
      </w:r>
    </w:p>
    <w:p w:rsidR="00A850D5" w:rsidRPr="00A850D5" w:rsidRDefault="00A850D5" w:rsidP="00A85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9.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Приложения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презентация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крайний срок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по истечении срока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по меньшей мере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два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календарь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день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вперед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в этом заявлении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может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являются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сделанный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изменения</w:t>
      </w:r>
      <w:r w:rsidRPr="00EE6421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Изменять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выполнять</w:t>
      </w:r>
      <w:proofErr w:type="gramStart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</w:t>
      </w:r>
      <w:proofErr w:type="gram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 первый рабочий день после дня внесения изменений секретарь комиссии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выполнять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объявление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публикация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является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новостная рассылка</w:t>
      </w:r>
      <w:r w:rsidRPr="00EE6421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10. В заявлении о предварительной квалификации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изменения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что нужно сделать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 случае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предварительная квалификация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приложения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 настоящему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крайний срок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подсчет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является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что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изменения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новостная рассылка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объявление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публикация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с того дня</w:t>
      </w:r>
      <w:r w:rsidRPr="00A850D5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br/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IV. Предварительная квалификация</w:t>
      </w:r>
      <w:r w:rsidRPr="00EE6421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ЗАЯВЛЕНИЕ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ПРЕДСТАВИТЬ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ОРДЕН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11.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Для участия в данной процедуре участник подает заявку в комитет.</w:t>
      </w:r>
      <w:r w:rsidRPr="00A850D5">
        <w:rPr>
          <w:rFonts w:ascii="GHEA Grapalat" w:eastAsia="Times New Roman" w:hAnsi="GHEA Grapalat" w:cs="Tahoma"/>
          <w:color w:val="000000"/>
          <w:sz w:val="20"/>
          <w:szCs w:val="20"/>
          <w:lang w:val="ru-RU"/>
        </w:rPr>
        <w:t>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12.</w:t>
      </w:r>
      <w:r w:rsidRPr="00EE6421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 xml:space="preserve">Номер предварительной </w:t>
      </w:r>
      <w:proofErr w:type="spellStart"/>
      <w:r w:rsidRPr="00EE6421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>квалификации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Участник</w:t>
      </w:r>
      <w:proofErr w:type="spellEnd"/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 может представить в комитет: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в электронном виде, отправив его на адрес электронной почты, указанный в данном объявлении секретаря Комиссии;</w:t>
      </w:r>
    </w:p>
    <w:p w:rsidR="00A850D5" w:rsidRPr="00A850D5" w:rsidRDefault="00A850D5" w:rsidP="00A850D5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в документальной форме, в запечатанном конверте. Конверт должен быть помечен на языке заявки на предварительную квалификацию: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EE6421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а. Имя клиента и место (адрес) подачи заявления.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EE6421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б</w:t>
      </w:r>
      <w:proofErr w:type="gramEnd"/>
      <w:r w:rsidRPr="00EE6421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код процедуры.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c</w:t>
      </w:r>
      <w:proofErr w:type="gramEnd"/>
      <w:r w:rsidRPr="00EE6421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слова «не вскрывать до начала сессии вскрытия заявок»;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d</w:t>
      </w:r>
      <w:proofErr w:type="gramEnd"/>
      <w:r w:rsidRPr="00EE6421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Имя, местонахождение и номер телефона участника.</w:t>
      </w:r>
    </w:p>
    <w:p w:rsidR="00A850D5" w:rsidRPr="00A502E8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13. Заявления о начале процедуры должны быть поданы в комиссию не позднее 15-го дня со дня публикации данного объявления в официальном вестнике (04.03.2026 в 16:00).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Заявки, не соответствующие требованиям пунктов 12, 15, 16, 17 и 18 настоящей инструкции, будут признаны комиссией неудовлетворительными и отклонены.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Заявки на предварительную квалификацию, поданные в бумажной форме, должны быть направлены в комиссию до крайнего срока, указанного в данном пункте, по адресу: улица Баграмян, 26, Апаран, </w:t>
      </w:r>
      <w:proofErr w:type="spellStart"/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Арагацотнская</w:t>
      </w:r>
      <w:proofErr w:type="spellEnd"/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 область, Республика Армения.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14. Заявки на предварительную квалификацию, поданные в бумажной форме, принимаются и регистрируются в реестре заявок секретарем комиссии.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Заявки регистрируются секретарем в реестре в порядке их поступления с указанием регистрационного номера, даты и времени в реестре. Ссылка на этот реестр предоставляется по запросу участника. Заявки, поданные после установленного срока, не регистрируются в реестре и возвращаются секретарем в течение двух рабочих дней с даты получения.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15. Участник вместе с заявкой на предварительную квалификацию предоставляет: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1)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письменное заявление об участии в утвержденной им процедуре предварительной квалификации в соответствии с Приложением N 1,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2) утвержденное им заявление о соответствии требованиям квалификационных критериев, изложенных в настоящем заявлении, согласно Приложению 2.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3) копия соглашения о совместной деятельности, если участники принимают участие в данной процедуре на основе совместной деятельности (консорциум).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lastRenderedPageBreak/>
        <w:t>4) Каждый участник также предоставляет резюме.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,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16. Если участник подает заявку на предварительную квалификацию: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в документальной форме, то все документы, включенные в заявку, за исключением документа, предусмотренного в подпункте 3 пункта 15 настоящего объявления, представляются в оригинале и в 1 копии.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Документы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пакеты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на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соответственно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в процессе написания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являются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"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оригинал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»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"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копия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»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слова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Вместо оригиналов документов могут быть предоставлены нотариально заверенные копии оригиналов.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2) В электронном виде предоставляются печатные (сканированные) версии оригинальных документов.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17. Заявки на предварительную квалификацию, помимо армянского языка, могут быть поданы также на английском или русском языке.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18. Конверт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этот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оговорено в декларации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 м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ассирийский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к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документы составляются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подписание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является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их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представление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человек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или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последний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авторизовано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человек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(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впредь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`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агент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):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Если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предварительная квалификация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приложение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подарок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является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агент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,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затем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по запросу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представленный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является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последний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что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власть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сдержанный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быть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 xml:space="preserve">документ </w:t>
      </w:r>
      <w:proofErr w:type="spellStart"/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о.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При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 необходимости участник может предоставить требуемую информацию в формах, отличных от предложенных в данном объявлении, при соблюдении всех необходимых требований.</w:t>
      </w:r>
    </w:p>
    <w:p w:rsidR="00A850D5" w:rsidRPr="00A850D5" w:rsidRDefault="00A850D5" w:rsidP="00000253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V. Открытие, оценка и присуждение наград по заявкам, прошедшим предварительную квалификацию.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КРАТКОЕ ИЗЛОЖЕНИЕ РЕЗУЛЬТАТОВ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</w:p>
    <w:p w:rsidR="00A850D5" w:rsidRPr="00A502E8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ahoma"/>
          <w:b/>
          <w:sz w:val="20"/>
          <w:szCs w:val="24"/>
          <w:lang w:val="af-ZA"/>
        </w:rPr>
      </w:pP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19. Открытие, оценка и подведение итогов рассмотрения заявок на предварительную квалификацию состоятся на открытии заявок на предварительную квалификацию в 16:00 15-го дня со дня публикации данного объявления в бюллетене (04.03.2026 в 16:00) по адресу: ул. Баграмян, 26, Апаран, Арагацотнская область, РА.</w:t>
      </w:r>
      <w:r w:rsidRPr="00A502E8">
        <w:rPr>
          <w:rFonts w:ascii="GHEA Grapalat" w:eastAsia="Times New Roman" w:hAnsi="GHEA Grapalat" w:cs="Tahoma"/>
          <w:b/>
          <w:sz w:val="20"/>
          <w:szCs w:val="24"/>
          <w:lang w:val="af-ZA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</w:pP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Кроме того, оценка заявок проводится по окончании периода приема заявок</w:t>
      </w:r>
      <w:proofErr w:type="gramStart"/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.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softHyphen/>
      </w:r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в</w:t>
      </w:r>
      <w:proofErr w:type="gramEnd"/>
      <w:r w:rsidRPr="00EE6421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 xml:space="preserve"> течение трех рабочих дней с момента истечения срока действия.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20. На открытии и оценке заявок на предварительную квалификацию: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ч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комитет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секретарь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информация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является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отчет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в реестре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сделанный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примечания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комиссия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президенту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является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передача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приложения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регистр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его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неразлучные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часть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существование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другой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документы,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зарегистрированный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и/или отправлены в электронном виде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приложения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2) После передачи указанных в подпункте 1 настоящего пункта документов председателю (председателю сессии) комитет проводит оценку: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а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приложения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содержащий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конверты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сделать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 настоящему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согласие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определенный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хорошо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открытие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соответствующий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оценен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приложения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б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открыл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каждый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необходимо вложить в конверт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намеревался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документы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существование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их, а также тех, которые были отправлены в электронном виде.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документы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компиляция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согласие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этим заявлением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определенный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в соответствии с требованиями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>21. Заявки, отвечающие условиям, изложенным в данном объявлении, считаются удовлетворительными. В противном случае, заявки на предварительную квалификацию считаются неудовлетворительными и отклоняются.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x-none"/>
        </w:rPr>
        <w:t>Если во время открытия сессии приема заявок на предварительную квалификацию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результаты проведенной оценки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softHyphen/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В случае выявления несоответствий в заявке участника требованиям настоящего объявления, комитет приостанавливает заседание на один рабочий день, а секретарь комитета в тот же день уведомляет участника электронным способом, предлагая исправить несоответствие до окончания периода приостановления. Кроме того, применяются положения, указанные в этом пункте: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1) В предложении необходимо подробно описать выявленные расхождения.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Cs w:val="24"/>
          <w:lang w:val="hy-AM" w:eastAsia="ru-RU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2) Предложение направляется участнику путем отправки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22. Если участник исправит выявленное несоответствие в течение срока, указанного в пункте 21 настоящего объявления, то его заявка будет признана удовлетворительной. В противном случае заявка будет признана неудовлетворительной и отклонена. Участник должен отправить исправленные документы на адрес электронной почты, указанный в заявке на участие в данной процедуре.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softHyphen/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отправив его на адрес электронной почты, предоставленный секретарем собрания.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lastRenderedPageBreak/>
        <w:t>23. Член или секретарь комиссии не может участвовать в работе комиссии, если в ходе деятельности комиссии выясняется, что организация, основанная им или в которой он имеет долю (акции), или лицо, связанное с ним близким родством или аффилированной связью (родитель, супруг(а), ребенок, брат, сестра, бабушка, дедушка, внук, а также родитель(а) супруга(и), ребенок, брат, сестра, бабушка, дедушка, внук), или организация, основанная этим лицом или в которой он имеет долю (акции), подала заявку на участие в данной процедуре. При наличии условия, предусмотренного в этом пункте, член или секретарь комиссии, имеющий конфликт интересов в отношении данной процедуры, должен немедленно отказаться от участия в ней.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24. Составляется протокол об открытии, оценке и подведении итогов рассмотрения заявок, в котором также утверждается список участников, прошедших предварительный отбор. Секретарь Комиссии в рабочий день, следующий за окончанием сессии приема заявок, обязан: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публикует в бюллетене оригиналы печатных (сканированных) версий заявлений об отсутствии конфликта интересов, подписанных им и членами комиссии, присутствовавшими на открытии заявок;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2) уведомить участников, подавших заявки, признанные неудовлетворительными в соответствии с условиями, указанными в данном объявлении, об основаниях для отклонения заявок на предварительную квалификацию.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25. Право на участие в открытом тендере предоставляется участникам, включенным в список предварительно отобранных участников, которые в установленный в настоящем объявлении срок подтвердят и представят Секретарю Комиссии оригинал обязательства о сохранении информации, содержащей государственную тайну. В этой связи Секретарь Комиссии одновременно направит уведомление с указанного в настоящем объявлении адреса электронной почты предварительно отобранных участников, указанных в заявке, с указанием порядка получения приглашения. Кроме того, к указанному в настоящем пункте уведомлению будет приложена форма обязательства о сохранении информации, содержащей государственную тайну, и условия его заполнения.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Участники, прошедшие предварительную квалификацию, должны подтвердить и в течение трех рабочих дней после отправки уведомления, указанного в данном пункте, лично представить Секретарю Комиссии оригинал обязательства по защите информации, содержащей государственную тайну. Секретарь Комиссии на месте оценивает соответствие составленного документа установленной форме, а также личность лица, уполномоченного получать приглашение, и в случае соответствия одновременно предоставляет приглашение и соответствующий номер ссылки с указанием даты и времени его отправки.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26. Участники, прошедшие предварительную квалификацию и представившие документы позднее установленного в пункте 25 настоящего объявления срока, не получат приглашение, а срок подачи заявок на участие в открытом тендере отсчитывается со дня, следующего за истечением срока, указанного в том же пункте.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27. Рассмотрение апелляции по данному вопросу осуществляется в порядке, установленном Законом РА «О закупках» и Гражданским процессуальным кодексом РА.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Более того, каждый из них:  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1) заинтересованное лицо имеет право обжаловать действия (бездействие) и решения клиента и оценочной комиссии в порядке, установленном Гражданским процессуальным кодексом Республики Армения;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Любое лицо имеет право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Размер государственных пошлин, взимаемых за обжалование, устанавливается Законом о государственных пошлинах.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Для получения дополнительной информации по данному объявлению вы можете связаться с секретарем Комиссии:</w:t>
      </w:r>
      <w:r w:rsidRPr="00A850D5">
        <w:rPr>
          <w:rFonts w:ascii="GHEA Grapalat" w:eastAsia="Times New Roman" w:hAnsi="GHEA Grapalat" w:cs="Arial"/>
          <w:i/>
          <w:color w:val="000000"/>
          <w:sz w:val="20"/>
          <w:szCs w:val="20"/>
          <w:lang w:val="af-ZA"/>
        </w:rPr>
        <w:t xml:space="preserve"> </w:t>
      </w:r>
      <w:r w:rsidRPr="00EE6421">
        <w:rPr>
          <w:rFonts w:ascii="GHEA Grapalat" w:eastAsia="Times New Roman" w:hAnsi="GHEA Grapalat" w:cs="Arial"/>
          <w:color w:val="000000"/>
          <w:sz w:val="20"/>
          <w:szCs w:val="20"/>
          <w:lang w:val="ru-RU"/>
        </w:rPr>
        <w:t>М. Айрапетян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A850D5" w:rsidRPr="00A850D5" w:rsidRDefault="00A850D5" w:rsidP="00A850D5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Номер телефона:</w:t>
      </w:r>
      <w:r w:rsidRPr="00A850D5">
        <w:rPr>
          <w:rFonts w:ascii="GHEA Grapalat" w:eastAsia="Calibri" w:hAnsi="GHEA Grapalat" w:cs="Times New Roman"/>
          <w:iCs/>
          <w:color w:val="000000"/>
          <w:sz w:val="20"/>
          <w:szCs w:val="20"/>
          <w:lang w:val="af-ZA"/>
        </w:rPr>
        <w:t>+374 94 23-18-93</w:t>
      </w:r>
    </w:p>
    <w:p w:rsidR="00A850D5" w:rsidRPr="00A850D5" w:rsidRDefault="00A850D5" w:rsidP="00A850D5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Электронная почта:</w:t>
      </w:r>
      <w:r w:rsidRPr="00A850D5">
        <w:rPr>
          <w:rFonts w:ascii="GHEA Grapalat" w:eastAsia="Calibri" w:hAnsi="GHEA Grapalat" w:cs="Times New Roman"/>
          <w:iCs/>
          <w:color w:val="000000"/>
          <w:sz w:val="20"/>
          <w:szCs w:val="20"/>
          <w:u w:val="single"/>
          <w:lang w:val="af-ZA"/>
        </w:rPr>
        <w:t>haykhovsepyanhv@mail.ru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ind w:firstLine="540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Заказчик: Муниципалитет Апаран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  <w:sectPr w:rsidR="00A850D5" w:rsidRPr="00A850D5" w:rsidSect="00A850D5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lastRenderedPageBreak/>
        <w:t>Приложение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>№ 1</w:t>
      </w:r>
    </w:p>
    <w:p w:rsidR="00A850D5" w:rsidRPr="00A850D5" w:rsidRDefault="00EE6421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EE6421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>ՀՀ-ԱՄ-ԱՀ-ԲՄԽԾՁԲ-09/26</w:t>
      </w:r>
      <w:r w:rsidR="00A502E8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="00A850D5"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предварительная квалификация для участия в открытом тендере с кодом</w:t>
      </w: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описание процедуры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es-ES"/>
        </w:rPr>
      </w:pP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ПРИЛОЖЕНИЕ*</w:t>
      </w:r>
    </w:p>
    <w:p w:rsidR="00A850D5" w:rsidRPr="00A850D5" w:rsidRDefault="00A850D5" w:rsidP="00A850D5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>принять участие в процедуре предварительной квалификации</w:t>
      </w:r>
      <w:r w:rsidRPr="00A850D5"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  <w:t xml:space="preserve">  </w:t>
      </w:r>
    </w:p>
    <w:p w:rsidR="00A850D5" w:rsidRPr="00A850D5" w:rsidRDefault="00A850D5" w:rsidP="00A85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участник</w:t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имя</w:t>
      </w: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A850D5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отчеты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является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,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что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желает принять участие в процедуре предварительной квалификации в рамках открытого тендера </w:t>
      </w:r>
      <w:r w:rsidR="00EE6421" w:rsidRPr="00EE6421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ՀՀ-ԱՄ-ԱՀ-ԲՄԽԾՁԲ-09/26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, проводимого муниципалитетом Апарана.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требования к заявлению о предварительной квалификации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в соответствии с требованиями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подарок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является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приложение.</w:t>
      </w:r>
    </w:p>
    <w:p w:rsidR="00A850D5" w:rsidRPr="00A850D5" w:rsidRDefault="00A850D5" w:rsidP="00A850D5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участник</w:t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имя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в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номер регистрации налогоплательщика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является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A850D5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A850D5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A850D5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Регистрационный номер налогоплательщика</w:t>
      </w:r>
      <w:r w:rsidRPr="00A850D5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  <w:t>:</w:t>
      </w:r>
    </w:p>
    <w:p w:rsidR="00A850D5" w:rsidRPr="00A850D5" w:rsidRDefault="00A850D5" w:rsidP="00A850D5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u w:val="single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участник</w:t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имя</w:t>
      </w: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</w:t>
      </w:r>
      <w:r w:rsidRPr="00A850D5">
        <w:rPr>
          <w:rFonts w:ascii="GHEA Grapalat" w:eastAsia="Times New Roman" w:hAnsi="GHEA Grapalat" w:cs="Times New Roman"/>
          <w:color w:val="000000"/>
          <w:lang w:val="es-ES"/>
        </w:rPr>
        <w:t>-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в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электронный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почта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адрес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является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A850D5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Адрес электронной почты</w:t>
      </w:r>
      <w:r w:rsidRPr="00A850D5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  <w:t>: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 xml:space="preserve">              </w:t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           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___________________________________________________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ru-RU"/>
        </w:rPr>
        <w:t>участник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имя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>(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лидер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позиция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>а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монахиня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ru-RU"/>
        </w:rPr>
        <w:t>фамилия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                                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подпись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К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Т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  <w:sectPr w:rsidR="00A850D5" w:rsidRPr="00A850D5" w:rsidSect="00A850D5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:rsidR="00A850D5" w:rsidRPr="0082224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i/>
          <w:color w:val="000000"/>
          <w:sz w:val="20"/>
          <w:szCs w:val="20"/>
          <w:lang w:val="es-ES" w:eastAsia="ru-RU"/>
        </w:rPr>
      </w:pPr>
      <w:r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es-ES" w:eastAsia="ru-RU"/>
        </w:rPr>
        <w:lastRenderedPageBreak/>
        <w:t>Приложение</w:t>
      </w:r>
      <w:r w:rsidRPr="00822245">
        <w:rPr>
          <w:rFonts w:ascii="GHEA Grapalat" w:eastAsia="Times New Roman" w:hAnsi="GHEA Grapalat" w:cs="Arial"/>
          <w:i/>
          <w:color w:val="000000"/>
          <w:sz w:val="20"/>
          <w:szCs w:val="20"/>
          <w:lang w:val="es-ES" w:eastAsia="ru-RU"/>
        </w:rPr>
        <w:t>№ 2</w:t>
      </w:r>
    </w:p>
    <w:p w:rsidR="00A850D5" w:rsidRPr="00822245" w:rsidRDefault="00A502E8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</w:pPr>
      <w:r w:rsidRPr="00A502E8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 xml:space="preserve">Предварительная квалификация для открытого тендера, код </w:t>
      </w:r>
      <w:r w:rsidR="00EE6421" w:rsidRPr="00EE6421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ՀՀ-ԱՄ-ԱՀ-ԲՄԽԾՁԲ-09/26</w:t>
      </w:r>
    </w:p>
    <w:p w:rsidR="00A850D5" w:rsidRPr="0082224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</w:pPr>
      <w:r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описание процедуры</w:t>
      </w: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18"/>
          <w:szCs w:val="18"/>
          <w:lang w:val="es-ES"/>
        </w:rPr>
      </w:pP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ОБЪЯВЛЕНИЕ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«Профессионал»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активность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согласие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по контракту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намеревался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"активность"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квалификация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стандарт оказания медицинской помощи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о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</w:p>
    <w:p w:rsidR="00A850D5" w:rsidRPr="00A850D5" w:rsidRDefault="00A850D5" w:rsidP="00A850D5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имя участника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 xml:space="preserve">       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заявляет и подтверждает, что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подать заявку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В течение года и трех предшествующих ему лет предоставлялись следующие услуги: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557"/>
        <w:gridCol w:w="5981"/>
      </w:tblGrid>
      <w:tr w:rsidR="00A850D5" w:rsidRPr="00EE6421" w:rsidTr="00A850D5">
        <w:tc>
          <w:tcPr>
            <w:tcW w:w="10188" w:type="dxa"/>
            <w:gridSpan w:val="3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s-ES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Договоры, надлежащим образом заключенные в течение года подачи заявки на предварительную квалификацию и трех лет, предшествующих ему.</w:t>
            </w:r>
          </w:p>
        </w:tc>
      </w:tr>
      <w:tr w:rsidR="00A850D5" w:rsidRPr="00EE6421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ч/ч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6149" w:type="dxa"/>
          </w:tcPr>
          <w:p w:rsidR="00A850D5" w:rsidRPr="00EE6421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Информация о клиенте и контактные данные</w:t>
            </w:r>
          </w:p>
        </w:tc>
      </w:tr>
      <w:tr w:rsidR="00A850D5" w:rsidRPr="00A850D5" w:rsidTr="00A850D5">
        <w:tc>
          <w:tcPr>
            <w:tcW w:w="10188" w:type="dxa"/>
            <w:gridSpan w:val="3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proofErr w:type="spellStart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Год</w:t>
            </w:r>
            <w:proofErr w:type="spellEnd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: ............</w:t>
            </w: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proofErr w:type="spellStart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предоставление</w:t>
            </w:r>
            <w:proofErr w:type="spellEnd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юридических</w:t>
            </w:r>
            <w:proofErr w:type="spellEnd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консультационных</w:t>
            </w:r>
            <w:proofErr w:type="spellEnd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0188" w:type="dxa"/>
            <w:gridSpan w:val="3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Год: ............</w:t>
            </w: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0188" w:type="dxa"/>
            <w:gridSpan w:val="3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Год: ............</w:t>
            </w: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</w:tbl>
    <w:p w:rsidR="00A850D5" w:rsidRPr="00A850D5" w:rsidRDefault="00A850D5" w:rsidP="00A850D5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___________________________________________________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ru-RU"/>
        </w:rPr>
        <w:t>участник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имя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>(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лидер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позиция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>а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монахиня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EE6421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ru-RU"/>
        </w:rPr>
        <w:t>фамилия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                                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подпись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К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Т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A850D5" w:rsidRPr="00A850D5" w:rsidRDefault="00A850D5" w:rsidP="00A850D5">
      <w:pPr>
        <w:spacing w:after="0" w:line="240" w:lineRule="auto"/>
        <w:rPr>
          <w:rFonts w:ascii="Times Armenian" w:eastAsia="Times New Roman" w:hAnsi="Times Armenian" w:cs="Times New Roman"/>
          <w:color w:val="000000"/>
          <w:sz w:val="20"/>
          <w:szCs w:val="20"/>
          <w:lang w:val="x-none" w:eastAsia="ru-RU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/>
        </w:rPr>
      </w:pPr>
    </w:p>
    <w:p w:rsidR="00A850D5" w:rsidRPr="00A850D5" w:rsidRDefault="00A850D5" w:rsidP="00A850D5"/>
    <w:p w:rsidR="00323118" w:rsidRDefault="00323118"/>
    <w:sectPr w:rsidR="00323118" w:rsidSect="00A850D5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D5"/>
    <w:rsid w:val="00000253"/>
    <w:rsid w:val="0004231E"/>
    <w:rsid w:val="001C1F50"/>
    <w:rsid w:val="00312B1D"/>
    <w:rsid w:val="00323118"/>
    <w:rsid w:val="00502E28"/>
    <w:rsid w:val="005275F1"/>
    <w:rsid w:val="00760DBF"/>
    <w:rsid w:val="00822245"/>
    <w:rsid w:val="00A502E8"/>
    <w:rsid w:val="00A850D5"/>
    <w:rsid w:val="00E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50D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50D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50D5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A850D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850D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50D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50D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A850D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A850D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0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50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A850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A850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50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8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A8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A850D5"/>
  </w:style>
  <w:style w:type="paragraph" w:styleId="a3">
    <w:name w:val="Body Text Indent"/>
    <w:aliases w:val=" Char, Char Char Char Char,Char Char Char Char"/>
    <w:basedOn w:val="a"/>
    <w:link w:val="a4"/>
    <w:rsid w:val="00A850D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8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A850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850D5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A850D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A850D5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A850D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850D5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A850D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A850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A850D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A850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A850D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A8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A850D5"/>
    <w:rPr>
      <w:color w:val="0000FF"/>
      <w:u w:val="single"/>
    </w:rPr>
  </w:style>
  <w:style w:type="character" w:customStyle="1" w:styleId="CharChar1">
    <w:name w:val="Char Char1"/>
    <w:locked/>
    <w:rsid w:val="00A850D5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A850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850D5"/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semiHidden/>
    <w:rsid w:val="00A850D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index heading"/>
    <w:basedOn w:val="a"/>
    <w:next w:val="12"/>
    <w:semiHidden/>
    <w:rsid w:val="00A8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A850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A8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A850D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A850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A850D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A850D5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A850D5"/>
  </w:style>
  <w:style w:type="paragraph" w:styleId="af2">
    <w:name w:val="footnote text"/>
    <w:basedOn w:val="a"/>
    <w:link w:val="af3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A8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850D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A850D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A850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50D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A8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A850D5"/>
    <w:rPr>
      <w:b/>
      <w:bCs/>
    </w:rPr>
  </w:style>
  <w:style w:type="character" w:styleId="af6">
    <w:name w:val="footnote reference"/>
    <w:semiHidden/>
    <w:rsid w:val="00A850D5"/>
    <w:rPr>
      <w:vertAlign w:val="superscript"/>
    </w:rPr>
  </w:style>
  <w:style w:type="character" w:customStyle="1" w:styleId="CharChar22">
    <w:name w:val="Char Char22"/>
    <w:rsid w:val="00A850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850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850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850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850D5"/>
    <w:rPr>
      <w:rFonts w:ascii="Arial Armenian" w:hAnsi="Arial Armenian"/>
      <w:lang w:val="en-US"/>
    </w:rPr>
  </w:style>
  <w:style w:type="character" w:styleId="af7">
    <w:name w:val="annotation reference"/>
    <w:semiHidden/>
    <w:rsid w:val="00A850D5"/>
    <w:rPr>
      <w:sz w:val="16"/>
      <w:szCs w:val="16"/>
    </w:rPr>
  </w:style>
  <w:style w:type="paragraph" w:styleId="af8">
    <w:name w:val="annotation text"/>
    <w:basedOn w:val="a"/>
    <w:link w:val="af9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A850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A850D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850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A850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A850D5"/>
    <w:rPr>
      <w:vertAlign w:val="superscript"/>
    </w:rPr>
  </w:style>
  <w:style w:type="paragraph" w:styleId="aff">
    <w:name w:val="Document Map"/>
    <w:basedOn w:val="a"/>
    <w:link w:val="aff0"/>
    <w:semiHidden/>
    <w:rsid w:val="00A850D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A850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39"/>
    <w:rsid w:val="00A8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A850D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A850D5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A850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850D5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A850D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A850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850D5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A850D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A850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A850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A850D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850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850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850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A850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850D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850D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850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850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850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850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A850D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A850D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A850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850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850D5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A850D5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A850D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A850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A850D5"/>
    <w:rPr>
      <w:color w:val="605E5C"/>
      <w:shd w:val="clear" w:color="auto" w:fill="E1DFDD"/>
    </w:rPr>
  </w:style>
  <w:style w:type="character" w:customStyle="1" w:styleId="CharChar4">
    <w:name w:val="Char Char4"/>
    <w:locked/>
    <w:rsid w:val="00A850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A8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A850D5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A850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50D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50D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50D5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A850D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850D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50D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50D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A850D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A850D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0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50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A850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A850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50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8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A8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A850D5"/>
  </w:style>
  <w:style w:type="paragraph" w:styleId="a3">
    <w:name w:val="Body Text Indent"/>
    <w:aliases w:val=" Char, Char Char Char Char,Char Char Char Char"/>
    <w:basedOn w:val="a"/>
    <w:link w:val="a4"/>
    <w:rsid w:val="00A850D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8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A850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850D5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A850D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A850D5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A850D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850D5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A850D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A850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A850D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A850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A850D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A8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A850D5"/>
    <w:rPr>
      <w:color w:val="0000FF"/>
      <w:u w:val="single"/>
    </w:rPr>
  </w:style>
  <w:style w:type="character" w:customStyle="1" w:styleId="CharChar1">
    <w:name w:val="Char Char1"/>
    <w:locked/>
    <w:rsid w:val="00A850D5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A850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850D5"/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semiHidden/>
    <w:rsid w:val="00A850D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index heading"/>
    <w:basedOn w:val="a"/>
    <w:next w:val="12"/>
    <w:semiHidden/>
    <w:rsid w:val="00A8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A850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A8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A850D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A850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A850D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A850D5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A850D5"/>
  </w:style>
  <w:style w:type="paragraph" w:styleId="af2">
    <w:name w:val="footnote text"/>
    <w:basedOn w:val="a"/>
    <w:link w:val="af3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A8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850D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A850D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A850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50D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A8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A850D5"/>
    <w:rPr>
      <w:b/>
      <w:bCs/>
    </w:rPr>
  </w:style>
  <w:style w:type="character" w:styleId="af6">
    <w:name w:val="footnote reference"/>
    <w:semiHidden/>
    <w:rsid w:val="00A850D5"/>
    <w:rPr>
      <w:vertAlign w:val="superscript"/>
    </w:rPr>
  </w:style>
  <w:style w:type="character" w:customStyle="1" w:styleId="CharChar22">
    <w:name w:val="Char Char22"/>
    <w:rsid w:val="00A850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850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850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850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850D5"/>
    <w:rPr>
      <w:rFonts w:ascii="Arial Armenian" w:hAnsi="Arial Armenian"/>
      <w:lang w:val="en-US"/>
    </w:rPr>
  </w:style>
  <w:style w:type="character" w:styleId="af7">
    <w:name w:val="annotation reference"/>
    <w:semiHidden/>
    <w:rsid w:val="00A850D5"/>
    <w:rPr>
      <w:sz w:val="16"/>
      <w:szCs w:val="16"/>
    </w:rPr>
  </w:style>
  <w:style w:type="paragraph" w:styleId="af8">
    <w:name w:val="annotation text"/>
    <w:basedOn w:val="a"/>
    <w:link w:val="af9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A850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A850D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850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A850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A850D5"/>
    <w:rPr>
      <w:vertAlign w:val="superscript"/>
    </w:rPr>
  </w:style>
  <w:style w:type="paragraph" w:styleId="aff">
    <w:name w:val="Document Map"/>
    <w:basedOn w:val="a"/>
    <w:link w:val="aff0"/>
    <w:semiHidden/>
    <w:rsid w:val="00A850D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A850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39"/>
    <w:rsid w:val="00A8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A850D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A850D5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A850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850D5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A850D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A850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850D5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A850D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A850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A850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A850D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850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850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850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A850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850D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850D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850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850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850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850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A850D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A850D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A850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850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850D5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A850D5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A850D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A850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A850D5"/>
    <w:rPr>
      <w:color w:val="605E5C"/>
      <w:shd w:val="clear" w:color="auto" w:fill="E1DFDD"/>
    </w:rPr>
  </w:style>
  <w:style w:type="character" w:customStyle="1" w:styleId="CharChar4">
    <w:name w:val="Char Char4"/>
    <w:locked/>
    <w:rsid w:val="00A850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A8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A850D5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A8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2026-02-18T11:15:00Z</dcterms:created>
  <dcterms:modified xsi:type="dcterms:W3CDTF">2026-02-18T11:15:00Z</dcterms:modified>
</cp:coreProperties>
</file>