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613" w14:textId="77777777" w:rsidR="0022631D" w:rsidRPr="0022631D" w:rsidRDefault="0022631D" w:rsidP="006D401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FD49F8A" w14:textId="77777777" w:rsidR="0022631D" w:rsidRPr="0022631D" w:rsidRDefault="0022631D" w:rsidP="006D401E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AF96CC4" w14:textId="752B3725" w:rsidR="00F557D9" w:rsidRPr="008F089A" w:rsidRDefault="00F557D9" w:rsidP="006D401E">
      <w:pPr>
        <w:ind w:left="0" w:firstLine="0"/>
        <w:jc w:val="both"/>
        <w:rPr>
          <w:rFonts w:ascii="GHEA Grapalat" w:hAnsi="GHEA Grapalat" w:cs="Sylfaen"/>
          <w:sz w:val="20"/>
          <w:lang w:val="hy-AM"/>
        </w:rPr>
      </w:pPr>
      <w:r w:rsidRPr="00641D30">
        <w:rPr>
          <w:rFonts w:ascii="GHEA Grapalat" w:hAnsi="GHEA Grapalat" w:cs="Sylfaen"/>
          <w:sz w:val="20"/>
          <w:lang w:val="hy-AM"/>
        </w:rPr>
        <w:t xml:space="preserve">Երևանի </w:t>
      </w:r>
      <w:r w:rsidR="00C77131">
        <w:rPr>
          <w:rFonts w:ascii="GHEA Grapalat" w:hAnsi="GHEA Grapalat" w:cs="Sylfaen"/>
          <w:sz w:val="20"/>
          <w:lang w:val="hy-AM"/>
        </w:rPr>
        <w:t>քաղաքապետարանը</w:t>
      </w:r>
      <w:r w:rsidRPr="00641D30">
        <w:rPr>
          <w:rFonts w:ascii="GHEA Grapalat" w:hAnsi="GHEA Grapalat" w:cs="Sylfaen"/>
          <w:sz w:val="20"/>
          <w:lang w:val="hy-AM"/>
        </w:rPr>
        <w:t xml:space="preserve"> ստորև ներկայացնում է իր</w:t>
      </w:r>
      <w:r w:rsidR="000345F4">
        <w:rPr>
          <w:rFonts w:ascii="GHEA Grapalat" w:hAnsi="GHEA Grapalat" w:cs="Sylfaen"/>
          <w:sz w:val="20"/>
          <w:lang w:val="hy-AM"/>
        </w:rPr>
        <w:t>են</w:t>
      </w:r>
      <w:r w:rsidRPr="00641D30">
        <w:rPr>
          <w:rFonts w:ascii="GHEA Grapalat" w:hAnsi="GHEA Grapalat" w:cs="Sylfaen"/>
          <w:sz w:val="20"/>
          <w:lang w:val="hy-AM"/>
        </w:rPr>
        <w:t xml:space="preserve"> կարիքների</w:t>
      </w:r>
      <w:r>
        <w:rPr>
          <w:rFonts w:ascii="GHEA Grapalat" w:hAnsi="GHEA Grapalat" w:cs="Sylfaen"/>
          <w:sz w:val="20"/>
          <w:lang w:val="hy-AM"/>
        </w:rPr>
        <w:t xml:space="preserve"> համար</w:t>
      </w:r>
      <w:r w:rsidRPr="00641D30">
        <w:rPr>
          <w:rFonts w:ascii="GHEA Grapalat" w:hAnsi="GHEA Grapalat" w:cs="Sylfaen"/>
          <w:sz w:val="20"/>
          <w:lang w:val="hy-AM"/>
        </w:rPr>
        <w:t xml:space="preserve"> </w:t>
      </w:r>
      <w:r w:rsidR="00D477AB" w:rsidRPr="00D477AB">
        <w:rPr>
          <w:rFonts w:ascii="GHEA Grapalat" w:hAnsi="GHEA Grapalat" w:cs="Sylfaen"/>
          <w:sz w:val="20"/>
          <w:lang w:val="hy-AM"/>
        </w:rPr>
        <w:t>Երևան քաղաքում լուսազդանշանների պահպանման ծառայությունների</w:t>
      </w:r>
      <w:r w:rsidR="003323EB" w:rsidRPr="00641D30">
        <w:rPr>
          <w:rFonts w:ascii="GHEA Grapalat" w:hAnsi="GHEA Grapalat" w:cs="Sylfaen"/>
          <w:sz w:val="20"/>
          <w:lang w:val="hy-AM"/>
        </w:rPr>
        <w:t xml:space="preserve"> </w:t>
      </w:r>
      <w:r w:rsidRPr="00641D30">
        <w:rPr>
          <w:rFonts w:ascii="GHEA Grapalat" w:hAnsi="GHEA Grapalat" w:cs="Sylfaen"/>
          <w:sz w:val="20"/>
          <w:lang w:val="hy-AM"/>
        </w:rPr>
        <w:t>ձեռքբերման նպատակով կազմակերպված &lt;&lt;</w:t>
      </w:r>
      <w:r w:rsidR="00D477AB">
        <w:rPr>
          <w:rFonts w:ascii="GHEA Grapalat" w:hAnsi="GHEA Grapalat" w:cs="Sylfaen"/>
          <w:sz w:val="20"/>
          <w:lang w:val="hy-AM"/>
        </w:rPr>
        <w:t>ԵՔ-ԲՄԾՁԲ-24/1</w:t>
      </w:r>
      <w:r w:rsidRPr="00641D30">
        <w:rPr>
          <w:rFonts w:ascii="GHEA Grapalat" w:hAnsi="GHEA Grapalat" w:cs="Sylfaen"/>
          <w:sz w:val="20"/>
          <w:lang w:val="hy-AM"/>
        </w:rPr>
        <w:t xml:space="preserve">&gt;&gt; ծածկագրով գնման ընթացակարգի </w:t>
      </w:r>
      <w:r w:rsidRPr="008F089A">
        <w:rPr>
          <w:rFonts w:ascii="GHEA Grapalat" w:hAnsi="GHEA Grapalat" w:cs="Sylfaen"/>
          <w:sz w:val="20"/>
          <w:lang w:val="hy-AM"/>
        </w:rPr>
        <w:t>արդյունքում 20</w:t>
      </w:r>
      <w:r w:rsidRPr="00B55A3C">
        <w:rPr>
          <w:rFonts w:ascii="GHEA Grapalat" w:hAnsi="GHEA Grapalat" w:cs="Sylfaen"/>
          <w:sz w:val="20"/>
          <w:lang w:val="hy-AM"/>
        </w:rPr>
        <w:t>2</w:t>
      </w:r>
      <w:r w:rsidR="00D477AB"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F089A">
        <w:rPr>
          <w:rFonts w:ascii="GHEA Grapalat" w:hAnsi="GHEA Grapalat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477AB">
        <w:rPr>
          <w:rFonts w:ascii="GHEA Grapalat" w:hAnsi="GHEA Grapalat" w:cs="Sylfaen"/>
          <w:sz w:val="20"/>
          <w:lang w:val="hy-AM"/>
        </w:rPr>
        <w:t>հունվարի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477AB">
        <w:rPr>
          <w:rFonts w:ascii="GHEA Grapalat" w:hAnsi="GHEA Grapalat" w:cs="Sylfaen"/>
          <w:sz w:val="20"/>
          <w:lang w:val="hy-AM"/>
        </w:rPr>
        <w:t>3</w:t>
      </w:r>
      <w:r w:rsidR="000345F4">
        <w:rPr>
          <w:rFonts w:ascii="GHEA Grapalat" w:hAnsi="GHEA Grapalat" w:cs="Sylfaen"/>
          <w:sz w:val="20"/>
          <w:lang w:val="hy-AM"/>
        </w:rPr>
        <w:t>-ին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F089A">
        <w:rPr>
          <w:rFonts w:ascii="GHEA Grapalat" w:hAnsi="GHEA Grapalat" w:cs="Sylfaen"/>
          <w:sz w:val="20"/>
          <w:lang w:val="hy-AM"/>
        </w:rPr>
        <w:t xml:space="preserve">կնքված N </w:t>
      </w:r>
      <w:r w:rsidRPr="00641D30">
        <w:rPr>
          <w:rFonts w:ascii="GHEA Grapalat" w:hAnsi="GHEA Grapalat" w:cs="Sylfaen"/>
          <w:sz w:val="20"/>
          <w:lang w:val="hy-AM"/>
        </w:rPr>
        <w:t>&lt;&lt;</w:t>
      </w:r>
      <w:r w:rsidR="00D477AB">
        <w:rPr>
          <w:rFonts w:ascii="GHEA Grapalat" w:hAnsi="GHEA Grapalat" w:cs="Sylfaen"/>
          <w:sz w:val="20"/>
          <w:lang w:val="hy-AM"/>
        </w:rPr>
        <w:t>ԵՔ-ԲՄԾՁԲ-24/1</w:t>
      </w:r>
      <w:r w:rsidRPr="00641D30">
        <w:rPr>
          <w:rFonts w:ascii="GHEA Grapalat" w:hAnsi="GHEA Grapalat" w:cs="Sylfaen"/>
          <w:sz w:val="20"/>
          <w:lang w:val="hy-AM"/>
        </w:rPr>
        <w:t>&gt;&gt;</w:t>
      </w:r>
      <w:r w:rsidR="000345F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գնման </w:t>
      </w:r>
      <w:r w:rsidRPr="008F089A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80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72"/>
        <w:gridCol w:w="411"/>
        <w:gridCol w:w="858"/>
        <w:gridCol w:w="30"/>
        <w:gridCol w:w="149"/>
        <w:gridCol w:w="147"/>
        <w:gridCol w:w="801"/>
        <w:gridCol w:w="194"/>
        <w:gridCol w:w="390"/>
        <w:gridCol w:w="259"/>
        <w:gridCol w:w="162"/>
        <w:gridCol w:w="50"/>
        <w:gridCol w:w="615"/>
        <w:gridCol w:w="8"/>
        <w:gridCol w:w="173"/>
        <w:gridCol w:w="707"/>
        <w:gridCol w:w="339"/>
        <w:gridCol w:w="68"/>
        <w:gridCol w:w="14"/>
        <w:gridCol w:w="530"/>
        <w:gridCol w:w="200"/>
        <w:gridCol w:w="8"/>
        <w:gridCol w:w="191"/>
        <w:gridCol w:w="157"/>
        <w:gridCol w:w="112"/>
        <w:gridCol w:w="40"/>
        <w:gridCol w:w="649"/>
        <w:gridCol w:w="212"/>
        <w:gridCol w:w="27"/>
        <w:gridCol w:w="190"/>
        <w:gridCol w:w="36"/>
        <w:gridCol w:w="225"/>
        <w:gridCol w:w="1852"/>
      </w:tblGrid>
      <w:tr w:rsidR="0022631D" w:rsidRPr="0022631D" w14:paraId="0A98BECF" w14:textId="77777777" w:rsidTr="00210048">
        <w:trPr>
          <w:trHeight w:val="146"/>
        </w:trPr>
        <w:tc>
          <w:tcPr>
            <w:tcW w:w="1004" w:type="dxa"/>
            <w:gridSpan w:val="2"/>
            <w:shd w:val="clear" w:color="auto" w:fill="auto"/>
            <w:vAlign w:val="center"/>
          </w:tcPr>
          <w:p w14:paraId="52C38BC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04" w:type="dxa"/>
            <w:gridSpan w:val="32"/>
            <w:shd w:val="clear" w:color="auto" w:fill="auto"/>
            <w:vAlign w:val="center"/>
          </w:tcPr>
          <w:p w14:paraId="32D759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0D3EDBFD" w14:textId="77777777" w:rsidTr="00210048">
        <w:trPr>
          <w:trHeight w:val="110"/>
        </w:trPr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14:paraId="20DCC712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4"/>
            <w:vMerge w:val="restart"/>
            <w:shd w:val="clear" w:color="auto" w:fill="auto"/>
            <w:vAlign w:val="center"/>
          </w:tcPr>
          <w:p w14:paraId="50CDB60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48" w:type="dxa"/>
            <w:gridSpan w:val="2"/>
            <w:vMerge w:val="restart"/>
            <w:shd w:val="clear" w:color="auto" w:fill="auto"/>
            <w:vAlign w:val="center"/>
          </w:tcPr>
          <w:p w14:paraId="7ECD4F75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70" w:type="dxa"/>
            <w:gridSpan w:val="6"/>
            <w:shd w:val="clear" w:color="auto" w:fill="auto"/>
            <w:vAlign w:val="center"/>
          </w:tcPr>
          <w:p w14:paraId="256E33B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39" w:type="dxa"/>
            <w:gridSpan w:val="8"/>
            <w:shd w:val="clear" w:color="auto" w:fill="auto"/>
            <w:vAlign w:val="center"/>
          </w:tcPr>
          <w:p w14:paraId="0FC1CE4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7" w:type="dxa"/>
            <w:gridSpan w:val="11"/>
            <w:vMerge w:val="restart"/>
            <w:shd w:val="clear" w:color="auto" w:fill="auto"/>
            <w:vAlign w:val="center"/>
          </w:tcPr>
          <w:p w14:paraId="1912CCB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1434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3D7D4AFC" w14:textId="77777777" w:rsidTr="00210048">
        <w:trPr>
          <w:trHeight w:val="175"/>
        </w:trPr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3F8A309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shd w:val="clear" w:color="auto" w:fill="auto"/>
            <w:vAlign w:val="center"/>
          </w:tcPr>
          <w:p w14:paraId="3376A7E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shd w:val="clear" w:color="auto" w:fill="auto"/>
            <w:vAlign w:val="center"/>
          </w:tcPr>
          <w:p w14:paraId="6A13E39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14:paraId="180F0B2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  <w:vAlign w:val="center"/>
          </w:tcPr>
          <w:p w14:paraId="142C5F5E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39" w:type="dxa"/>
            <w:gridSpan w:val="8"/>
            <w:shd w:val="clear" w:color="auto" w:fill="auto"/>
            <w:vAlign w:val="center"/>
          </w:tcPr>
          <w:p w14:paraId="05535E7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7" w:type="dxa"/>
            <w:gridSpan w:val="11"/>
            <w:vMerge/>
            <w:shd w:val="clear" w:color="auto" w:fill="auto"/>
          </w:tcPr>
          <w:p w14:paraId="6A5B890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54A4487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41013C0" w14:textId="77777777" w:rsidTr="00210048">
        <w:trPr>
          <w:trHeight w:val="275"/>
        </w:trPr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2772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9198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228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FD9A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578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841D6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2A82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2248B75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AAEEEE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D477AB" w14:paraId="300026C0" w14:textId="77777777" w:rsidTr="00210048">
        <w:trPr>
          <w:trHeight w:val="169"/>
        </w:trPr>
        <w:tc>
          <w:tcPr>
            <w:tcW w:w="1004" w:type="dxa"/>
            <w:gridSpan w:val="2"/>
            <w:shd w:val="clear" w:color="auto" w:fill="auto"/>
            <w:vAlign w:val="center"/>
          </w:tcPr>
          <w:p w14:paraId="77D25B94" w14:textId="77777777" w:rsidR="003323EB" w:rsidRPr="0051509A" w:rsidRDefault="003323EB" w:rsidP="003323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02AC2" w14:textId="7655603A" w:rsidR="003323EB" w:rsidRPr="00C77131" w:rsidRDefault="00C77131" w:rsidP="003323EB">
            <w:pPr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77131">
              <w:rPr>
                <w:rFonts w:ascii="GHEA Grapalat" w:hAnsi="GHEA Grapalat" w:cs="Sylfaen"/>
                <w:sz w:val="16"/>
                <w:szCs w:val="16"/>
                <w:lang w:val="hy-AM"/>
              </w:rPr>
              <w:t>Երևան քաղաքի կարիքների համար Երևան քաղաքում լուսազդանշանների պահպանման ծառայություններ</w:t>
            </w:r>
          </w:p>
        </w:tc>
        <w:tc>
          <w:tcPr>
            <w:tcW w:w="9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54730" w14:textId="1329E9A7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90029" w14:textId="587CD05A" w:rsidR="003323EB" w:rsidRPr="00513BE0" w:rsidRDefault="003323EB" w:rsidP="003323E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180B53" w14:textId="6D84EF63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72E3D" w14:textId="77777777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5D81E" w14:textId="520FB68F" w:rsidR="003323EB" w:rsidRPr="00C77131" w:rsidRDefault="00D477AB" w:rsidP="003323EB">
            <w:pPr>
              <w:ind w:left="45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 w:cs="Sylfaen"/>
                <w:sz w:val="16"/>
                <w:szCs w:val="16"/>
                <w:lang w:val="hy-AM"/>
              </w:rPr>
              <w:t>124674000</w:t>
            </w:r>
          </w:p>
        </w:tc>
        <w:tc>
          <w:tcPr>
            <w:tcW w:w="18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88C156" w14:textId="146D99E0" w:rsidR="003323EB" w:rsidRPr="003323EB" w:rsidRDefault="003323EB" w:rsidP="00D477AB">
            <w:pPr>
              <w:tabs>
                <w:tab w:val="left" w:pos="1397"/>
              </w:tabs>
              <w:spacing w:before="0" w:after="0"/>
              <w:ind w:left="77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03A7A" w14:textId="6119B87F" w:rsidR="003323EB" w:rsidRPr="00B443E4" w:rsidRDefault="003323EB" w:rsidP="003323EB">
            <w:pPr>
              <w:spacing w:before="0" w:after="0"/>
              <w:ind w:left="43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77131" w:rsidRPr="00D477AB" w14:paraId="621596D7" w14:textId="77777777" w:rsidTr="00B21D89">
        <w:trPr>
          <w:trHeight w:val="169"/>
        </w:trPr>
        <w:tc>
          <w:tcPr>
            <w:tcW w:w="10808" w:type="dxa"/>
            <w:gridSpan w:val="34"/>
            <w:shd w:val="clear" w:color="auto" w:fill="auto"/>
            <w:vAlign w:val="center"/>
          </w:tcPr>
          <w:p w14:paraId="6C6704FF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Լուսացույցների ցերեկային տեսանելիության պարբերական ստուգում ճանապարհից կամ ավտոմոբիլից:                                                                   </w:t>
            </w:r>
          </w:p>
          <w:p w14:paraId="4737AAEA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Լուսացույցների ցուցմունքների ճշգրիտ փոփոխման (թույլատրող- արգելող- թույլատրող) պարբերաբար ստուգում:                                                                                 </w:t>
            </w:r>
          </w:p>
          <w:p w14:paraId="3DA4ABA6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Լուսացույցների աշխատանքային ցիկլի (պարբերության) սահմանվածին համապատասխանության պարբերական ստուգում և կառավարման սարքի փոխարինման ժամանակ:</w:t>
            </w:r>
          </w:p>
          <w:p w14:paraId="7159D492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Ըստ անհրաժեշտության պատվիրատուի առաջարկությամբ լուսացուցային ռեժիմի փոփոխություն։</w:t>
            </w:r>
          </w:p>
          <w:p w14:paraId="1E3CDA01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Լուսացույցների կարմիր և կանաչ գույների լուսավորման սարքերի պարբերական ստուգում և անհրաժեշտության դեպքում փոխարինում:                                                                 </w:t>
            </w:r>
          </w:p>
          <w:p w14:paraId="1F8420AC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Լուսացույցների լամպերի լարման չափում լամպերի փոխարինման ժամանակ:</w:t>
            </w:r>
          </w:p>
          <w:p w14:paraId="2AE624D4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Լուսացույցների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լուսացրիչների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մաքրում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  <w:p w14:paraId="5A1F9149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Լուսացույցների գլխիկների և կառավարման սարքատուփի պաբերական մաքրում և ստուգում:</w:t>
            </w:r>
          </w:p>
          <w:p w14:paraId="0815872C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Արագության և հետադարձ հաշվարկի թվատախտակների, լամպերի փոխարինում, ստուգում և կարգի բերում անհրաժեշտության դեպքում: </w:t>
            </w:r>
          </w:p>
          <w:p w14:paraId="3CEF5ACE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Արագության և հետադարձ հաշվարկի թվատախտակների վերանորոգում:                                          </w:t>
            </w:r>
          </w:p>
          <w:p w14:paraId="457B770A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Լուսացույցների, կանգնակների և հենասյուների /կոնսոլ/ փոշեներկում տարին մեկ անգամ կամ ներկանյութով ներկում, որը պետք է իրականացնի ժանգի փոխակերպիչի, հիմքի և վերջնական դեկորատիվ ծածկույթի դեր: Այն պետք է հնարավոր լինի կիրառել կոշտ ժանգի, նախկինում ալկիդ-ուրետոնային ներկով ծածկված մակերեսների վրա, լինել կորոզիայի նկատմամբ կայուն և դիմացկուն եղանակային տարբեր պայմանների  (Օրինակ՝ Эмаль с металл, Стружкой Miofe 771, антрацит, Ролакс Rolax.): Գույնը պետք է համաձայնեցվի պատվիրատուի հետ: Եթե ներկվող մակերեսի վրա կան զոդման արդյունքում առաջացած անհարթություներ՝ մինչև ներկելը պետք է հարթեցվի մաքրվի այնպես, որ ներկելուց հետո զոդման արդյունքում առաջացած շովերը տեսանելի չլինեն: Ներկելուց առաջ հատուկ մեքենա-սարքավորումների միջոցով ներկվող մակերեսի մաքրում:</w:t>
            </w:r>
          </w:p>
          <w:p w14:paraId="2C928B2F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Կառավարման սարքերի աշխատունակության պարբերաբար ստուգում  :                                          </w:t>
            </w:r>
          </w:p>
          <w:p w14:paraId="0CF247AB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Կառավարման սարքերի արտաքին և ներքին պարբերաբար զննում</w:t>
            </w:r>
          </w:p>
          <w:p w14:paraId="45B42A6F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Մալուխային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ուղեգծերի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պարբերաբար</w:t>
            </w:r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զննում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14:paraId="2BCCD0D2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Մետաղաճոպանային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տնտեսության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ստուգում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 տ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արեկան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առնվազն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անգամ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գարնանը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աշնանը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):                                                                                                                                               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Ներանցիչ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-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բաշխիչ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վահանակների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ապահովիչ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կցորդների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բոլոր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տեսակի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ուղղիչների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պարբերաբար</w:t>
            </w:r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զննում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6B73E2BA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Անջատոցների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փոխարկիչների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չափիչ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սարքերի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ուժային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վահանների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ստուգում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դրանց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պարբերաբար</w:t>
            </w:r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մաքրում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կարգի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բերում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57CDDCA0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Վթարված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լուսացույցերի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լամպերի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լուսադիոդների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թարթիչ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բլոկների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լուսացույցային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մոդուլների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սնուցման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բլոկների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տրանսֆորմատորների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ավտոմատ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ապահովիչների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մարտկոցների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պրոցեսորների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մալուխների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հսկիչ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սարքավորումների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կանգնակների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հենասյուների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ճոպանների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վերանորոգում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փոխարինում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սահմանված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ժամկետներում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մինչև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3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օրացուցային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օր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>):</w:t>
            </w:r>
          </w:p>
          <w:p w14:paraId="0F95C510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ՈՒնենալ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24/7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սպասարման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կենտրոն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կահավորված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հեռակառավարվող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լուսացույցների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մոնիտորինգի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ծրագրային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սպասարկման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ավտոմատ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77AB">
              <w:rPr>
                <w:rFonts w:ascii="GHEA Grapalat" w:hAnsi="GHEA Grapalat"/>
                <w:sz w:val="16"/>
                <w:szCs w:val="16"/>
              </w:rPr>
              <w:t>կառավարման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proofErr w:type="gram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նախատեսված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տեխնիկաներով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, ինչպես նաև ունենալ 7/24 գործող թեժ գիծ հանրությանը հասանելի կարճ հեռախոսահամարով</w:t>
            </w:r>
          </w:p>
          <w:p w14:paraId="7FB5AF9B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Երևան համայնքին պատկանող</w:t>
            </w:r>
            <w:r w:rsidRPr="00D477AB">
              <w:rPr>
                <w:rFonts w:ascii="GHEA Grapalat" w:hAnsi="GHEA Grapalat"/>
                <w:sz w:val="16"/>
                <w:szCs w:val="16"/>
              </w:rPr>
              <w:t xml:space="preserve"> “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Streettraffic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”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համակարգի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միջոցով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հեռակառավարվող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լուսացույցային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օբյեկտների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ծրագրային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սպասարկում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առկա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“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Streettraffic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”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համակարգով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աշխատող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օբյեկտների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միացում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նոր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ներդրված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477AB">
              <w:rPr>
                <w:rFonts w:ascii="GHEA Grapalat" w:hAnsi="GHEA Grapalat"/>
                <w:sz w:val="16"/>
                <w:szCs w:val="16"/>
              </w:rPr>
              <w:t>համակարգին</w:t>
            </w:r>
            <w:proofErr w:type="spellEnd"/>
            <w:r w:rsidRPr="00D477AB">
              <w:rPr>
                <w:rFonts w:ascii="GHEA Grapalat" w:hAnsi="GHEA Grapalat"/>
                <w:sz w:val="16"/>
                <w:szCs w:val="16"/>
              </w:rPr>
              <w:t>:</w:t>
            </w:r>
          </w:p>
          <w:p w14:paraId="781EC15F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Լուսացուցային համակարգի բնականոն աշխատունակության ապահովման հետ կապված առանձին մասերի և հանգույցների մաքրման աշխատանքների իրականացում</w:t>
            </w:r>
          </w:p>
          <w:p w14:paraId="4EED4149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Թվատախտակի փոխարինում կամ կարգաբերում անհրաժեշտության դեպքում</w:t>
            </w:r>
          </w:p>
          <w:p w14:paraId="7EEE7D62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Հետհաշվարկի  թվատախտակի փոխարինում, կարգաբերում անհրաժեշտության դեպքում</w:t>
            </w:r>
          </w:p>
          <w:p w14:paraId="1E4D2013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Հսկիչ սարքի փոխարինում անհրաժեշտության դեպքում</w:t>
            </w:r>
          </w:p>
          <w:p w14:paraId="0FD43BF7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Սնուցման աղբյուրի փոխարինում անհրաժեշտության դեպքում</w:t>
            </w:r>
          </w:p>
          <w:p w14:paraId="5C0D3C02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Հետիոտնային կանչի կոճակի փոխարինում անհրաժեշտության դեպքում</w:t>
            </w:r>
          </w:p>
          <w:p w14:paraId="02C40B4C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Հետիոտնային անցման կենտրոնական հսկիչի վերանորոգում</w:t>
            </w:r>
          </w:p>
          <w:p w14:paraId="35F20BAC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 xml:space="preserve">Վնասված մալուխների փոխարինում </w:t>
            </w:r>
          </w:p>
          <w:p w14:paraId="21B68DA5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Վնասված ապակու փոխարինում</w:t>
            </w:r>
          </w:p>
          <w:p w14:paraId="7364BA58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Լուսացույցի ծրագրային ապահովման վերականգնում անհրաժեշտության դեպքում</w:t>
            </w:r>
          </w:p>
          <w:p w14:paraId="7A4DC624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Հետիոտնային անցման կենտրոնական հսկիչի ծրագրային ապահովման վերականգնում անհրաժեշտության դեպքում</w:t>
            </w:r>
          </w:p>
          <w:p w14:paraId="14B73CCE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Կատարված աշխատանքների տեսաձայնագրում և տրամադրում պատվիրատուին, ըստ պատվիրատուի նախնական պահանջի։</w:t>
            </w:r>
          </w:p>
          <w:p w14:paraId="54A469B3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Վճարումը կիրականացվի ըստ փաստացի սասարկված լուսացույցների  քանակի:</w:t>
            </w:r>
          </w:p>
          <w:p w14:paraId="4277E114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Սպասարկվելիք լուսացուցային օբյեկտների առավելագույն քանակը մինչև 350:</w:t>
            </w:r>
          </w:p>
          <w:p w14:paraId="0C028912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Ծառայությունը պետք է մատուցվի համաձայն ՀՀ կառավարության 26/10/2006թ. "Ճանապարհային լուսացույցներին ներկայացվող պահանջները, դրանց կիրառման  ու տեղակայման կանոնները և ճանապարհային նշաններին ներկայացվող պահանջները, դրանց կիրառման ու տեղակայման կանոնները հաստատելու մասին"          հ. 1699-Ն, ՀՀ կառավարության 14/09/2006թ. «Ճանապարհների և դրանց ինժեներական կառույցների նախագծման, կառուցման, վերակառուցման, վերանորոգման ու պահպանման, ինչպես նաեվ ճանապարհամերձ օբյեկտների տեղաբաշխման ժամանակ ճանապարհային երթեվեկության անվտանգության ապահովման և ճանապարհային աշխատանքների կատարման ժամանակ երթեվեկության կազմակերպման սխեմաների համաձայնեցման կարգը հաստատելու և ՀՀ կառավարության 2003 թվականի մայիսի 2-ի հ.609-Ն որոշման մեջ լրացում կատարելու մասին» հ.1644-Ն որոշումների, ինչպես նաև ԳՕՍՏ 52289-2004 և ԳՕՍՏ 52290-2004 պահանջներին համապատասխան:</w:t>
            </w:r>
          </w:p>
          <w:p w14:paraId="585131FB" w14:textId="77777777" w:rsidR="00D477AB" w:rsidRPr="00D477AB" w:rsidRDefault="00D477AB" w:rsidP="00D477AB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hAnsi="GHEA Grapalat"/>
                <w:sz w:val="16"/>
                <w:szCs w:val="16"/>
                <w:lang w:val="hy-AM"/>
              </w:rPr>
              <w:t>Ընդ որում մինչև 25.12.2024 թվականը չկատարված գումարի չափով պայմանագիրը լուծվում  է, առանց որևէ իրավական պարտավորության:</w:t>
            </w:r>
          </w:p>
          <w:p w14:paraId="74B1BFBC" w14:textId="77777777" w:rsidR="00C77131" w:rsidRPr="00D477AB" w:rsidRDefault="00C77131" w:rsidP="00D477AB">
            <w:pPr>
              <w:spacing w:before="0" w:after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3323EB" w:rsidRPr="00D477AB" w14:paraId="4381A44F" w14:textId="77777777" w:rsidTr="00210048">
        <w:trPr>
          <w:trHeight w:val="40"/>
        </w:trPr>
        <w:tc>
          <w:tcPr>
            <w:tcW w:w="10808" w:type="dxa"/>
            <w:gridSpan w:val="34"/>
            <w:shd w:val="clear" w:color="auto" w:fill="auto"/>
            <w:vAlign w:val="center"/>
          </w:tcPr>
          <w:p w14:paraId="11534B6F" w14:textId="0886758A" w:rsidR="003323EB" w:rsidRPr="00B443E4" w:rsidRDefault="003323EB" w:rsidP="003323EB">
            <w:pPr>
              <w:spacing w:before="0" w:after="0"/>
              <w:ind w:left="360" w:hanging="14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3323EB" w:rsidRPr="00D477AB" w14:paraId="48DABBA3" w14:textId="77777777" w:rsidTr="00210048">
        <w:trPr>
          <w:trHeight w:val="169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10DB51B8" w14:textId="77777777" w:rsidR="003323EB" w:rsidRPr="00CA09A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D477AB" w14:paraId="313792B6" w14:textId="77777777" w:rsidTr="00210048">
        <w:trPr>
          <w:trHeight w:val="619"/>
        </w:trPr>
        <w:tc>
          <w:tcPr>
            <w:tcW w:w="44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D341C" w14:textId="77777777" w:rsidR="003323EB" w:rsidRPr="004C1B10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35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4CC1F" w14:textId="6E233200" w:rsidR="003323EB" w:rsidRPr="00CA09AD" w:rsidRDefault="003323EB" w:rsidP="003323EB">
            <w:pP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օրենքի </w:t>
            </w:r>
            <w:r w:rsidRPr="00521CD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D477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հոդված 15-րդ հոդվածի 6-րդ մասի կիրառմամբ</w:t>
            </w:r>
          </w:p>
        </w:tc>
      </w:tr>
      <w:tr w:rsidR="003323EB" w:rsidRPr="00D477AB" w14:paraId="0397328A" w14:textId="77777777" w:rsidTr="00210048">
        <w:trPr>
          <w:trHeight w:val="196"/>
        </w:trPr>
        <w:tc>
          <w:tcPr>
            <w:tcW w:w="1080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04149A" w14:textId="77777777" w:rsidR="003323EB" w:rsidRPr="004C1B10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1CAC5E8E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1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7C6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91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8032B99" w14:textId="50A53506" w:rsidR="003323EB" w:rsidRPr="003323EB" w:rsidRDefault="00D477A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3323E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</w:tr>
      <w:tr w:rsidR="003323EB" w:rsidRPr="0022631D" w14:paraId="51D10B33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7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3C7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452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B66C" w14:textId="5F6FC00C" w:rsidR="003323EB" w:rsidRPr="00ED3A57" w:rsidRDefault="00D477A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22.11.2023</w:t>
            </w:r>
          </w:p>
        </w:tc>
      </w:tr>
      <w:tr w:rsidR="003323EB" w:rsidRPr="0022631D" w14:paraId="24F4E4F2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7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85A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277" w14:textId="4D361C11" w:rsidR="003323EB" w:rsidRPr="00D477AB" w:rsidRDefault="00D477A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3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4B8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6C1D9019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FDC6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0FA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F793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9729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323EB" w:rsidRPr="0022631D" w14:paraId="4446A4A0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E045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8827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EE07" w14:textId="77777777" w:rsidR="003323EB" w:rsidRPr="003D50A6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3C50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53946BB5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7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669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82B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16C7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97C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70E95C95" w14:textId="77777777" w:rsidTr="00210048">
        <w:trPr>
          <w:trHeight w:val="54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7FF4E45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49B1DC21" w14:textId="77777777" w:rsidTr="00210048">
        <w:trPr>
          <w:trHeight w:val="605"/>
        </w:trPr>
        <w:tc>
          <w:tcPr>
            <w:tcW w:w="1415" w:type="dxa"/>
            <w:gridSpan w:val="3"/>
            <w:vMerge w:val="restart"/>
            <w:shd w:val="clear" w:color="auto" w:fill="auto"/>
            <w:vAlign w:val="center"/>
          </w:tcPr>
          <w:p w14:paraId="4391C52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79" w:type="dxa"/>
            <w:gridSpan w:val="6"/>
            <w:vMerge w:val="restart"/>
            <w:shd w:val="clear" w:color="auto" w:fill="auto"/>
            <w:vAlign w:val="center"/>
          </w:tcPr>
          <w:p w14:paraId="4A44465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14" w:type="dxa"/>
            <w:gridSpan w:val="25"/>
            <w:shd w:val="clear" w:color="auto" w:fill="auto"/>
            <w:vAlign w:val="center"/>
          </w:tcPr>
          <w:p w14:paraId="384BA97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323EB" w:rsidRPr="0022631D" w14:paraId="3632BA68" w14:textId="77777777" w:rsidTr="00210048">
        <w:trPr>
          <w:trHeight w:val="365"/>
        </w:trPr>
        <w:tc>
          <w:tcPr>
            <w:tcW w:w="1415" w:type="dxa"/>
            <w:gridSpan w:val="3"/>
            <w:vMerge/>
            <w:shd w:val="clear" w:color="auto" w:fill="auto"/>
            <w:vAlign w:val="center"/>
          </w:tcPr>
          <w:p w14:paraId="4756AEE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6"/>
            <w:vMerge/>
            <w:shd w:val="clear" w:color="auto" w:fill="auto"/>
            <w:vAlign w:val="center"/>
          </w:tcPr>
          <w:p w14:paraId="6381011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15" w:type="dxa"/>
            <w:gridSpan w:val="12"/>
            <w:shd w:val="clear" w:color="auto" w:fill="auto"/>
            <w:vAlign w:val="center"/>
          </w:tcPr>
          <w:p w14:paraId="67132D5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569" w:type="dxa"/>
            <w:gridSpan w:val="8"/>
            <w:shd w:val="clear" w:color="auto" w:fill="auto"/>
            <w:vAlign w:val="center"/>
          </w:tcPr>
          <w:p w14:paraId="65BF2A9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0" w:type="dxa"/>
            <w:gridSpan w:val="5"/>
            <w:shd w:val="clear" w:color="auto" w:fill="auto"/>
            <w:vAlign w:val="center"/>
          </w:tcPr>
          <w:p w14:paraId="71D291D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323EB" w:rsidRPr="0022631D" w14:paraId="267AD8B4" w14:textId="77777777" w:rsidTr="00210048">
        <w:trPr>
          <w:trHeight w:val="83"/>
        </w:trPr>
        <w:tc>
          <w:tcPr>
            <w:tcW w:w="1415" w:type="dxa"/>
            <w:gridSpan w:val="3"/>
            <w:shd w:val="clear" w:color="auto" w:fill="auto"/>
            <w:vAlign w:val="center"/>
          </w:tcPr>
          <w:p w14:paraId="5325E9A4" w14:textId="77777777" w:rsidR="003323EB" w:rsidRPr="005A0E94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393" w:type="dxa"/>
            <w:gridSpan w:val="31"/>
            <w:shd w:val="clear" w:color="auto" w:fill="auto"/>
            <w:vAlign w:val="center"/>
          </w:tcPr>
          <w:p w14:paraId="70812BD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52744" w:rsidRPr="0022631D" w14:paraId="0DE15E4C" w14:textId="77777777" w:rsidTr="003323EB">
        <w:trPr>
          <w:trHeight w:val="907"/>
        </w:trPr>
        <w:tc>
          <w:tcPr>
            <w:tcW w:w="1415" w:type="dxa"/>
            <w:gridSpan w:val="3"/>
            <w:shd w:val="clear" w:color="auto" w:fill="auto"/>
            <w:vAlign w:val="center"/>
          </w:tcPr>
          <w:p w14:paraId="3459FF8A" w14:textId="6B3934A9" w:rsidR="00052744" w:rsidRPr="005A0E94" w:rsidRDefault="00052744" w:rsidP="000527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79" w:type="dxa"/>
            <w:gridSpan w:val="6"/>
            <w:shd w:val="clear" w:color="auto" w:fill="auto"/>
            <w:vAlign w:val="center"/>
          </w:tcPr>
          <w:p w14:paraId="7BAD2460" w14:textId="2C82E4E6" w:rsidR="00052744" w:rsidRPr="003323EB" w:rsidRDefault="00052744" w:rsidP="00052744">
            <w:pPr>
              <w:spacing w:line="276" w:lineRule="auto"/>
              <w:ind w:left="-36" w:firstLine="36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bookmarkStart w:id="0" w:name="_Hlk140483802"/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>«</w:t>
            </w:r>
            <w:r w:rsidR="00C77131">
              <w:rPr>
                <w:rFonts w:ascii="GHEA Grapalat" w:hAnsi="GHEA Grapalat" w:cs="Sylfaen"/>
                <w:sz w:val="16"/>
                <w:szCs w:val="16"/>
                <w:lang w:val="hy-AM"/>
              </w:rPr>
              <w:t>Լոկատոր</w:t>
            </w:r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» </w:t>
            </w:r>
            <w:r w:rsidR="00C77131">
              <w:rPr>
                <w:rFonts w:ascii="GHEA Grapalat" w:hAnsi="GHEA Grapalat" w:cs="Sylfaen"/>
                <w:sz w:val="16"/>
                <w:szCs w:val="16"/>
                <w:lang w:val="hy-AM"/>
              </w:rPr>
              <w:t>ՓԲԸ</w:t>
            </w:r>
            <w:bookmarkEnd w:id="0"/>
          </w:p>
        </w:tc>
        <w:tc>
          <w:tcPr>
            <w:tcW w:w="3315" w:type="dxa"/>
            <w:gridSpan w:val="12"/>
            <w:shd w:val="clear" w:color="auto" w:fill="auto"/>
            <w:vAlign w:val="center"/>
          </w:tcPr>
          <w:p w14:paraId="3C596F83" w14:textId="78284A98" w:rsidR="00052744" w:rsidRPr="00C77131" w:rsidRDefault="00D477AB" w:rsidP="00052744">
            <w:pPr>
              <w:widowControl w:val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D477AB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101662500</w:t>
            </w:r>
          </w:p>
        </w:tc>
        <w:tc>
          <w:tcPr>
            <w:tcW w:w="1569" w:type="dxa"/>
            <w:gridSpan w:val="8"/>
            <w:shd w:val="clear" w:color="auto" w:fill="auto"/>
            <w:vAlign w:val="center"/>
          </w:tcPr>
          <w:p w14:paraId="4E17B926" w14:textId="409F38B7" w:rsidR="00052744" w:rsidRPr="00CD41B1" w:rsidRDefault="00D477AB" w:rsidP="00052744">
            <w:pPr>
              <w:widowControl w:val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20332500</w:t>
            </w:r>
          </w:p>
        </w:tc>
        <w:tc>
          <w:tcPr>
            <w:tcW w:w="2330" w:type="dxa"/>
            <w:gridSpan w:val="5"/>
            <w:shd w:val="clear" w:color="auto" w:fill="auto"/>
            <w:vAlign w:val="center"/>
          </w:tcPr>
          <w:p w14:paraId="7F26C85C" w14:textId="7A5D3D99" w:rsidR="00052744" w:rsidRPr="00052744" w:rsidRDefault="00D477AB" w:rsidP="00052744">
            <w:pPr>
              <w:widowControl w:val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121995000</w:t>
            </w:r>
          </w:p>
        </w:tc>
      </w:tr>
      <w:tr w:rsidR="003323EB" w:rsidRPr="00993D4E" w14:paraId="70260B93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19EB3A3E" w14:textId="77777777" w:rsidR="003323EB" w:rsidRPr="00993D4E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034CB567" w14:textId="77777777" w:rsidTr="00210048">
        <w:tc>
          <w:tcPr>
            <w:tcW w:w="10808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7094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323EB" w:rsidRPr="0022631D" w14:paraId="0C21EF01" w14:textId="77777777" w:rsidTr="00210048">
        <w:tc>
          <w:tcPr>
            <w:tcW w:w="832" w:type="dxa"/>
            <w:vMerge w:val="restart"/>
            <w:shd w:val="clear" w:color="auto" w:fill="auto"/>
            <w:vAlign w:val="center"/>
          </w:tcPr>
          <w:p w14:paraId="30D7EF9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14:paraId="670F05B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0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A2A9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323EB" w:rsidRPr="0022631D" w14:paraId="702BF3A7" w14:textId="77777777" w:rsidTr="00210048"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AB9A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10FA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2B7F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9267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5C75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C8D0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323EB" w:rsidRPr="0022631D" w14:paraId="36A084E9" w14:textId="77777777" w:rsidTr="00210048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12F35E4" w14:textId="77777777" w:rsidR="003323EB" w:rsidRPr="008D48B5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35F24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D5D6D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9F221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DEC749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42D98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5E8208D5" w14:textId="77777777" w:rsidTr="00210048">
        <w:trPr>
          <w:trHeight w:val="331"/>
        </w:trPr>
        <w:tc>
          <w:tcPr>
            <w:tcW w:w="23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7A933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05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2F01A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323EB" w:rsidRPr="0022631D" w14:paraId="4FC45EE8" w14:textId="77777777" w:rsidTr="00210048">
        <w:trPr>
          <w:trHeight w:val="289"/>
        </w:trPr>
        <w:tc>
          <w:tcPr>
            <w:tcW w:w="1080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D99C917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643536AE" w14:textId="77777777" w:rsidTr="00210048">
        <w:trPr>
          <w:trHeight w:val="346"/>
        </w:trPr>
        <w:tc>
          <w:tcPr>
            <w:tcW w:w="50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9C52B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DE91F" w14:textId="1C449FB4" w:rsidR="003323EB" w:rsidRPr="00C276B9" w:rsidRDefault="009D472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7713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3323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3323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3D4DE170" w14:textId="77777777" w:rsidTr="00210048">
        <w:trPr>
          <w:trHeight w:val="92"/>
        </w:trPr>
        <w:tc>
          <w:tcPr>
            <w:tcW w:w="5078" w:type="dxa"/>
            <w:gridSpan w:val="15"/>
            <w:vMerge w:val="restart"/>
            <w:shd w:val="clear" w:color="auto" w:fill="auto"/>
            <w:vAlign w:val="center"/>
          </w:tcPr>
          <w:p w14:paraId="687FAB0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1AC2D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6F264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323EB" w:rsidRPr="0022631D" w14:paraId="1A471696" w14:textId="77777777" w:rsidTr="00210048">
        <w:trPr>
          <w:trHeight w:val="92"/>
        </w:trPr>
        <w:tc>
          <w:tcPr>
            <w:tcW w:w="507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E49F2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7B4F6" w14:textId="187A0DEF" w:rsidR="003323EB" w:rsidRPr="00F45C72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1882" w14:textId="4FF22B75" w:rsidR="003323EB" w:rsidRPr="00F45C72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35E0E456" w14:textId="77777777" w:rsidTr="00210048">
        <w:trPr>
          <w:trHeight w:val="344"/>
        </w:trPr>
        <w:tc>
          <w:tcPr>
            <w:tcW w:w="10808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A266D" w14:textId="2C18C2DA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9D47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D47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7C04BADC" w14:textId="77777777" w:rsidTr="00210048">
        <w:trPr>
          <w:trHeight w:val="344"/>
        </w:trPr>
        <w:tc>
          <w:tcPr>
            <w:tcW w:w="50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48EB0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2A871" w14:textId="05B9B0C0" w:rsidR="003323EB" w:rsidRPr="00C276B9" w:rsidRDefault="009D472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17BF5471" w14:textId="77777777" w:rsidTr="00210048">
        <w:trPr>
          <w:trHeight w:val="344"/>
        </w:trPr>
        <w:tc>
          <w:tcPr>
            <w:tcW w:w="50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17285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34808" w14:textId="5A75AD42" w:rsidR="003323EB" w:rsidRPr="0022631D" w:rsidRDefault="009D472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3323EB" w:rsidRPr="0022631D" w14:paraId="70C5B154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22173E8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51F4AFCF" w14:textId="77777777" w:rsidTr="00210048">
        <w:tc>
          <w:tcPr>
            <w:tcW w:w="832" w:type="dxa"/>
            <w:vMerge w:val="restart"/>
            <w:shd w:val="clear" w:color="auto" w:fill="auto"/>
            <w:vAlign w:val="center"/>
          </w:tcPr>
          <w:p w14:paraId="6B30D4E1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4B63B53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35" w:type="dxa"/>
            <w:gridSpan w:val="30"/>
            <w:shd w:val="clear" w:color="auto" w:fill="auto"/>
            <w:vAlign w:val="center"/>
          </w:tcPr>
          <w:p w14:paraId="4B2B29F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323EB" w:rsidRPr="0022631D" w14:paraId="2DDD655A" w14:textId="77777777" w:rsidTr="00210048">
        <w:trPr>
          <w:trHeight w:val="237"/>
        </w:trPr>
        <w:tc>
          <w:tcPr>
            <w:tcW w:w="832" w:type="dxa"/>
            <w:vMerge/>
            <w:shd w:val="clear" w:color="auto" w:fill="auto"/>
            <w:vAlign w:val="center"/>
          </w:tcPr>
          <w:p w14:paraId="330966F3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14:paraId="0ABF4E7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8"/>
            <w:vMerge w:val="restart"/>
            <w:shd w:val="clear" w:color="auto" w:fill="auto"/>
            <w:vAlign w:val="center"/>
          </w:tcPr>
          <w:p w14:paraId="683140E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3" w:type="dxa"/>
            <w:gridSpan w:val="5"/>
            <w:vMerge w:val="restart"/>
            <w:shd w:val="clear" w:color="auto" w:fill="auto"/>
            <w:vAlign w:val="center"/>
          </w:tcPr>
          <w:p w14:paraId="4493E7C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59" w:type="dxa"/>
            <w:gridSpan w:val="6"/>
            <w:vMerge w:val="restart"/>
            <w:shd w:val="clear" w:color="auto" w:fill="auto"/>
            <w:vAlign w:val="center"/>
          </w:tcPr>
          <w:p w14:paraId="792FEC3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460" w:type="dxa"/>
            <w:gridSpan w:val="3"/>
            <w:vMerge w:val="restart"/>
            <w:shd w:val="clear" w:color="auto" w:fill="auto"/>
            <w:vAlign w:val="center"/>
          </w:tcPr>
          <w:p w14:paraId="3E87321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31" w:type="dxa"/>
            <w:gridSpan w:val="8"/>
            <w:shd w:val="clear" w:color="auto" w:fill="auto"/>
            <w:vAlign w:val="center"/>
          </w:tcPr>
          <w:p w14:paraId="639A348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3323EB" w:rsidRPr="0022631D" w14:paraId="51227F11" w14:textId="77777777" w:rsidTr="00210048">
        <w:trPr>
          <w:trHeight w:val="238"/>
        </w:trPr>
        <w:tc>
          <w:tcPr>
            <w:tcW w:w="832" w:type="dxa"/>
            <w:vMerge/>
            <w:shd w:val="clear" w:color="auto" w:fill="auto"/>
            <w:vAlign w:val="center"/>
          </w:tcPr>
          <w:p w14:paraId="2185E66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14:paraId="28E55D9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8"/>
            <w:vMerge/>
            <w:shd w:val="clear" w:color="auto" w:fill="auto"/>
            <w:vAlign w:val="center"/>
          </w:tcPr>
          <w:p w14:paraId="0244C8C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3" w:type="dxa"/>
            <w:gridSpan w:val="5"/>
            <w:vMerge/>
            <w:shd w:val="clear" w:color="auto" w:fill="auto"/>
            <w:vAlign w:val="center"/>
          </w:tcPr>
          <w:p w14:paraId="23D6EFA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6"/>
            <w:vMerge/>
            <w:shd w:val="clear" w:color="auto" w:fill="auto"/>
            <w:vAlign w:val="center"/>
          </w:tcPr>
          <w:p w14:paraId="07B4BB7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3"/>
            <w:vMerge/>
            <w:shd w:val="clear" w:color="auto" w:fill="auto"/>
            <w:vAlign w:val="center"/>
          </w:tcPr>
          <w:p w14:paraId="3B881D3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31" w:type="dxa"/>
            <w:gridSpan w:val="8"/>
            <w:shd w:val="clear" w:color="auto" w:fill="auto"/>
            <w:vAlign w:val="center"/>
          </w:tcPr>
          <w:p w14:paraId="6FD4C8A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323EB" w:rsidRPr="0022631D" w14:paraId="704C6E0C" w14:textId="77777777" w:rsidTr="00210048">
        <w:trPr>
          <w:trHeight w:val="263"/>
        </w:trPr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1854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2769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C667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45E8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BB684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5AC6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321E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8E09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323EB" w:rsidRPr="00A741B7" w14:paraId="370013D9" w14:textId="77777777" w:rsidTr="00210048">
        <w:trPr>
          <w:trHeight w:val="124"/>
        </w:trPr>
        <w:tc>
          <w:tcPr>
            <w:tcW w:w="832" w:type="dxa"/>
            <w:shd w:val="clear" w:color="auto" w:fill="auto"/>
            <w:vAlign w:val="center"/>
          </w:tcPr>
          <w:p w14:paraId="3F26ABDC" w14:textId="77777777" w:rsidR="003323EB" w:rsidRPr="00106C65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14:paraId="499BE72B" w14:textId="075A1991" w:rsidR="003323EB" w:rsidRPr="00411AB7" w:rsidRDefault="00C77131" w:rsidP="003323EB">
            <w:pPr>
              <w:ind w:left="6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Լոկատոր</w:t>
            </w:r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132" w:type="dxa"/>
            <w:gridSpan w:val="8"/>
            <w:shd w:val="clear" w:color="auto" w:fill="auto"/>
            <w:vAlign w:val="center"/>
          </w:tcPr>
          <w:p w14:paraId="7D004B10" w14:textId="4E74EC42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«</w:t>
            </w:r>
            <w:r w:rsidR="00D477AB">
              <w:rPr>
                <w:rFonts w:ascii="GHEA Grapalat" w:hAnsi="GHEA Grapalat" w:cs="Sylfaen"/>
                <w:sz w:val="16"/>
                <w:szCs w:val="16"/>
                <w:lang w:val="hy-AM"/>
              </w:rPr>
              <w:t>ԵՔ-ԲՄԾՁԲ-24/1</w:t>
            </w: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»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 w14:paraId="0F4C9AFA" w14:textId="74AA0DFA" w:rsidR="003323EB" w:rsidRPr="00B3336D" w:rsidRDefault="009D4721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03</w:t>
            </w:r>
            <w:r w:rsidR="003323EB"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  <w:r w:rsidR="003323EB"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1159" w:type="dxa"/>
            <w:gridSpan w:val="6"/>
            <w:shd w:val="clear" w:color="auto" w:fill="auto"/>
            <w:vAlign w:val="center"/>
          </w:tcPr>
          <w:p w14:paraId="08E22D89" w14:textId="51CB4C45" w:rsidR="003323EB" w:rsidRPr="00B3336D" w:rsidRDefault="002C2137" w:rsidP="00B3336D">
            <w:pPr>
              <w:ind w:left="5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627B8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Պայմանագիրը (ֆինանսական միջոցների առկայության դեպքում համաձայնագիրը) ուժի մեջ մտնելուց հետո՝ մինչև 25.12.202</w:t>
            </w:r>
            <w:r w:rsidR="009D4721">
              <w:rPr>
                <w:rFonts w:ascii="GHEA Grapalat" w:hAnsi="GHEA Grapalat" w:cs="Calibri"/>
                <w:sz w:val="16"/>
                <w:szCs w:val="16"/>
                <w:lang w:val="hy-AM"/>
              </w:rPr>
              <w:t>4</w:t>
            </w:r>
            <w:r w:rsidRPr="006627B8">
              <w:rPr>
                <w:rFonts w:ascii="GHEA Grapalat" w:hAnsi="GHEA Grapalat" w:cs="Calibri"/>
                <w:sz w:val="16"/>
                <w:szCs w:val="16"/>
                <w:lang w:val="hy-AM"/>
              </w:rPr>
              <w:t>թ. ընկած ժամանակահատվածում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67F98389" w14:textId="77777777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54" w:type="dxa"/>
            <w:gridSpan w:val="6"/>
            <w:shd w:val="clear" w:color="auto" w:fill="auto"/>
            <w:vAlign w:val="center"/>
          </w:tcPr>
          <w:p w14:paraId="6A380365" w14:textId="77777777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14:paraId="1E517B9E" w14:textId="0ED1C142" w:rsidR="003323EB" w:rsidRPr="00B3336D" w:rsidRDefault="009D4721" w:rsidP="003323EB">
            <w:pPr>
              <w:spacing w:before="0" w:after="0"/>
              <w:ind w:left="72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121995000</w:t>
            </w:r>
          </w:p>
        </w:tc>
      </w:tr>
      <w:tr w:rsidR="003323EB" w:rsidRPr="00A741B7" w14:paraId="20BFC841" w14:textId="77777777" w:rsidTr="00210048">
        <w:trPr>
          <w:trHeight w:val="150"/>
        </w:trPr>
        <w:tc>
          <w:tcPr>
            <w:tcW w:w="10808" w:type="dxa"/>
            <w:gridSpan w:val="34"/>
            <w:shd w:val="clear" w:color="auto" w:fill="auto"/>
            <w:vAlign w:val="center"/>
          </w:tcPr>
          <w:p w14:paraId="19064633" w14:textId="77777777" w:rsidR="003323EB" w:rsidRPr="006C7653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C76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323EB" w:rsidRPr="0022631D" w14:paraId="1049A956" w14:textId="77777777" w:rsidTr="00210048">
        <w:trPr>
          <w:trHeight w:val="125"/>
        </w:trPr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22227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5296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47C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B797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F412A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3C2EC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323EB" w:rsidRPr="00B3336D" w14:paraId="2C1F4791" w14:textId="77777777" w:rsidTr="00210048">
        <w:trPr>
          <w:trHeight w:val="155"/>
        </w:trPr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1F44C" w14:textId="3EB24267" w:rsidR="003323EB" w:rsidRPr="006D401E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60053" w14:textId="02A87187" w:rsidR="003323EB" w:rsidRPr="00411AB7" w:rsidRDefault="00C77131" w:rsidP="003323EB">
            <w:pPr>
              <w:spacing w:before="0" w:after="0"/>
              <w:ind w:left="6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Լոկատոր</w:t>
            </w:r>
            <w:r w:rsidRPr="003323EB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9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9C76F" w14:textId="77777777" w:rsidR="002C2137" w:rsidRDefault="002C2137" w:rsidP="002C213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>ք. Երևան, Կոմիտասի 36ա,-22</w:t>
            </w:r>
          </w:p>
          <w:p w14:paraId="58E75DD4" w14:textId="3F077AF6" w:rsidR="00B20BC2" w:rsidRPr="002C2137" w:rsidRDefault="00B20BC2" w:rsidP="00B20BC2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20BC2">
              <w:rPr>
                <w:rFonts w:ascii="GHEA Grapalat" w:hAnsi="GHEA Grapalat" w:cs="Sylfaen"/>
                <w:sz w:val="16"/>
                <w:szCs w:val="16"/>
                <w:lang w:val="hy-AM"/>
              </w:rPr>
              <w:t>+37410285828</w:t>
            </w:r>
          </w:p>
          <w:p w14:paraId="422C5CC1" w14:textId="0D3308EC" w:rsidR="002C2137" w:rsidRPr="002C2137" w:rsidRDefault="002C2137" w:rsidP="002C213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  <w:p w14:paraId="673D03C7" w14:textId="6431E1C2" w:rsidR="003323EB" w:rsidRPr="00B3336D" w:rsidRDefault="003323EB" w:rsidP="002C213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0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6CB13" w14:textId="75D7D017" w:rsidR="003323EB" w:rsidRPr="00B3336D" w:rsidRDefault="002C2137" w:rsidP="00B3336D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>tender@locator.am</w:t>
            </w:r>
            <w:r w:rsidRPr="00D9248C">
              <w:rPr>
                <w:rFonts w:ascii="GHEA Grapalat" w:hAnsi="GHEA Grapalat"/>
                <w:lang w:val="ru-RU"/>
              </w:rPr>
              <w:t xml:space="preserve">  </w:t>
            </w:r>
          </w:p>
        </w:tc>
        <w:tc>
          <w:tcPr>
            <w:tcW w:w="1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A0E00" w14:textId="77777777" w:rsidR="002C2137" w:rsidRPr="002C2137" w:rsidRDefault="002C2137" w:rsidP="002C2137">
            <w:pPr>
              <w:widowControl w:val="0"/>
              <w:ind w:left="14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>«ԱՐԴՇԻՆԲԱՆԿ» ՓԲԸ</w:t>
            </w:r>
          </w:p>
          <w:p w14:paraId="3F20D0C2" w14:textId="23280A67" w:rsidR="003323EB" w:rsidRPr="00B3336D" w:rsidRDefault="002C2137" w:rsidP="002C2137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>Հ/Հ 2474703386220000</w:t>
            </w:r>
          </w:p>
        </w:tc>
        <w:tc>
          <w:tcPr>
            <w:tcW w:w="21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A27A1" w14:textId="77777777" w:rsidR="002C2137" w:rsidRPr="002C2137" w:rsidRDefault="002C2137" w:rsidP="002C213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C2137">
              <w:rPr>
                <w:rFonts w:ascii="GHEA Grapalat" w:hAnsi="GHEA Grapalat" w:cs="Sylfaen"/>
                <w:sz w:val="16"/>
                <w:szCs w:val="16"/>
                <w:lang w:val="hy-AM"/>
              </w:rPr>
              <w:t>ՀՀՎՀ 00095651</w:t>
            </w:r>
          </w:p>
          <w:p w14:paraId="68F57891" w14:textId="7528AE39" w:rsidR="003323EB" w:rsidRPr="00B3336D" w:rsidRDefault="003323EB" w:rsidP="00B3336D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</w:tr>
      <w:tr w:rsidR="003323EB" w:rsidRPr="00B3336D" w14:paraId="49F3470B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470946F0" w14:textId="77777777" w:rsidR="003323EB" w:rsidRPr="00F45C72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B3336D" w14:paraId="70E650C7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45DE0157" w14:textId="77777777" w:rsidR="003323EB" w:rsidRPr="00F45C72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78D5746E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5361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0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76AC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323EB" w:rsidRPr="0022631D" w14:paraId="565669A0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2FE098E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E56328" w14:paraId="360BD3C1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auto"/>
            <w:vAlign w:val="center"/>
          </w:tcPr>
          <w:p w14:paraId="0351C590" w14:textId="0EE1C134" w:rsidR="003323EB" w:rsidRPr="00E4188B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7314C993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7F86094E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542004AC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B6026C1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62BBA602" w14:textId="77777777" w:rsidR="003323EB" w:rsidRPr="004D078F" w:rsidRDefault="003323EB" w:rsidP="003323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53DC8A25" w14:textId="77777777" w:rsidR="003323EB" w:rsidRPr="004D078F" w:rsidRDefault="003323EB" w:rsidP="003323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EAC8B1A" w14:textId="77777777" w:rsidR="003323EB" w:rsidRPr="004D078F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249032E" w14:textId="360E7BA9" w:rsidR="003323EB" w:rsidRPr="004D078F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gramStart"/>
            <w:r w:rsidR="002C21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transport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@yerevan.am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323EB" w:rsidRPr="00E56328" w14:paraId="734E0A8F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7EC756F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061643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D477AB" w14:paraId="5818BF82" w14:textId="77777777" w:rsidTr="00210048">
        <w:trPr>
          <w:trHeight w:val="1132"/>
        </w:trPr>
        <w:tc>
          <w:tcPr>
            <w:tcW w:w="25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3F810D4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09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2EAA58AD" w14:textId="77777777" w:rsidR="003323EB" w:rsidRPr="00EB61E3" w:rsidRDefault="003323EB" w:rsidP="003323EB">
            <w:pPr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EB61E3">
              <w:rPr>
                <w:rFonts w:ascii="GHEA Grapalat" w:hAnsi="GHEA Grapalat"/>
                <w:sz w:val="16"/>
                <w:szCs w:val="16"/>
                <w:lang w:val="hy-AM"/>
              </w:rPr>
              <w:t>մասնակիցներ ներգրավելու նպատակով տեղեկագրում /gnumner.am/ /armeps/ էլ. համակարգում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, ինչպես նաև Երևանի քաղաքապետարանի պաշտոնական Yerevan.am կայքում</w:t>
            </w:r>
            <w:r w:rsidRPr="00EB61E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հրապարակում է գնումների հայտարարություններն ու հրավերները</w:t>
            </w:r>
          </w:p>
        </w:tc>
      </w:tr>
      <w:tr w:rsidR="003323EB" w:rsidRPr="00D477AB" w14:paraId="72F9E744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4877D63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3860C1D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D477AB" w14:paraId="7C86A8F2" w14:textId="77777777" w:rsidTr="00210048">
        <w:trPr>
          <w:trHeight w:val="427"/>
        </w:trPr>
        <w:tc>
          <w:tcPr>
            <w:tcW w:w="25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A0D71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0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29E11" w14:textId="77777777" w:rsidR="003323EB" w:rsidRPr="0022631D" w:rsidRDefault="003323EB" w:rsidP="003323EB">
            <w:pPr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t>Գնման գործընթացի շրջանակներում հակաօրինական գործողություններ չե եղե</w:t>
            </w:r>
            <w:r w:rsidRPr="001447D1">
              <w:rPr>
                <w:rFonts w:ascii="GHEA Grapalat" w:hAnsi="GHEA Grapalat" w:cs="Sylfaen"/>
                <w:lang w:val="hy-AM"/>
              </w:rPr>
              <w:t>լ</w:t>
            </w:r>
          </w:p>
        </w:tc>
      </w:tr>
      <w:tr w:rsidR="003323EB" w:rsidRPr="00D477AB" w14:paraId="528C2992" w14:textId="77777777" w:rsidTr="00210048">
        <w:trPr>
          <w:trHeight w:val="288"/>
        </w:trPr>
        <w:tc>
          <w:tcPr>
            <w:tcW w:w="10808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50C43A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D477AB" w14:paraId="70FB9B6C" w14:textId="77777777" w:rsidTr="00210048">
        <w:trPr>
          <w:trHeight w:val="427"/>
        </w:trPr>
        <w:tc>
          <w:tcPr>
            <w:tcW w:w="25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39FF3" w14:textId="77777777" w:rsidR="003323EB" w:rsidRPr="00E56328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1B1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0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C2C47" w14:textId="77777777" w:rsidR="003323EB" w:rsidRPr="00140E29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 xml:space="preserve">Գնման ընթացակարգի վերաբերյալ ներկայացված բողոքներ </w:t>
            </w: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t>չե եղե</w:t>
            </w: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>լ</w:t>
            </w:r>
            <w:r w:rsidRPr="00140E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3323EB" w:rsidRPr="00D477AB" w14:paraId="6403F393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7F867358" w14:textId="77777777" w:rsidR="003323EB" w:rsidRPr="00E56328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8D7A33" w14:paraId="7DE86498" w14:textId="77777777" w:rsidTr="00210048">
        <w:trPr>
          <w:trHeight w:val="427"/>
        </w:trPr>
        <w:tc>
          <w:tcPr>
            <w:tcW w:w="25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42AF1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0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01F8A" w14:textId="571D94EC" w:rsidR="003323EB" w:rsidRPr="00140E29" w:rsidRDefault="003323EB" w:rsidP="003323EB">
            <w:pPr>
              <w:spacing w:before="0" w:after="0"/>
              <w:ind w:left="47" w:right="21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0E2C48">
              <w:rPr>
                <w:rFonts w:ascii="GHEA Grapalat" w:hAnsi="GHEA Grapalat"/>
                <w:sz w:val="14"/>
                <w:szCs w:val="14"/>
              </w:rPr>
              <w:t>Ծանոթություն</w:t>
            </w:r>
            <w:proofErr w:type="spellEnd"/>
            <w:r w:rsidRPr="000E2C48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 xml:space="preserve">հրավիրվել են </w:t>
            </w:r>
            <w:proofErr w:type="gramStart"/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բանակցություններ  գների</w:t>
            </w:r>
            <w:proofErr w:type="gramEnd"/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 xml:space="preserve"> նվազեցման նպատակով։</w:t>
            </w:r>
          </w:p>
          <w:p w14:paraId="40A7BC1C" w14:textId="2DD0CC43" w:rsidR="003323EB" w:rsidRPr="00A1603B" w:rsidRDefault="003323EB" w:rsidP="003323EB">
            <w:pPr>
              <w:spacing w:before="0" w:after="0"/>
              <w:ind w:left="47" w:right="216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հավելվածում:</w:t>
            </w:r>
          </w:p>
        </w:tc>
      </w:tr>
      <w:tr w:rsidR="003323EB" w:rsidRPr="008D7A33" w14:paraId="51AE5C03" w14:textId="77777777" w:rsidTr="00210048">
        <w:trPr>
          <w:trHeight w:val="288"/>
        </w:trPr>
        <w:tc>
          <w:tcPr>
            <w:tcW w:w="10808" w:type="dxa"/>
            <w:gridSpan w:val="34"/>
            <w:shd w:val="clear" w:color="auto" w:fill="99CCFF"/>
            <w:vAlign w:val="center"/>
          </w:tcPr>
          <w:p w14:paraId="57682709" w14:textId="77777777" w:rsidR="003323EB" w:rsidRPr="00A1603B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8D7A33" w14:paraId="666787EB" w14:textId="77777777" w:rsidTr="00210048">
        <w:trPr>
          <w:trHeight w:val="227"/>
        </w:trPr>
        <w:tc>
          <w:tcPr>
            <w:tcW w:w="10808" w:type="dxa"/>
            <w:gridSpan w:val="34"/>
            <w:shd w:val="clear" w:color="auto" w:fill="auto"/>
            <w:vAlign w:val="center"/>
          </w:tcPr>
          <w:p w14:paraId="290CAD77" w14:textId="77777777" w:rsidR="003323EB" w:rsidRPr="008D7A33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323EB" w:rsidRPr="0022631D" w14:paraId="1097F4A9" w14:textId="77777777" w:rsidTr="00210048">
        <w:trPr>
          <w:trHeight w:val="47"/>
        </w:trPr>
        <w:tc>
          <w:tcPr>
            <w:tcW w:w="34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62C79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06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4D93A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E538C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323EB" w:rsidRPr="0022631D" w14:paraId="7B7EBC25" w14:textId="77777777" w:rsidTr="00210048">
        <w:trPr>
          <w:trHeight w:val="47"/>
        </w:trPr>
        <w:tc>
          <w:tcPr>
            <w:tcW w:w="3400" w:type="dxa"/>
            <w:gridSpan w:val="8"/>
            <w:shd w:val="clear" w:color="auto" w:fill="auto"/>
            <w:vAlign w:val="center"/>
          </w:tcPr>
          <w:p w14:paraId="30919FDB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Գ. Մուրադյան</w:t>
            </w:r>
          </w:p>
        </w:tc>
        <w:tc>
          <w:tcPr>
            <w:tcW w:w="4065" w:type="dxa"/>
            <w:gridSpan w:val="17"/>
            <w:shd w:val="clear" w:color="auto" w:fill="auto"/>
            <w:vAlign w:val="center"/>
          </w:tcPr>
          <w:p w14:paraId="5DAE71B1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011514373</w:t>
            </w:r>
          </w:p>
        </w:tc>
        <w:tc>
          <w:tcPr>
            <w:tcW w:w="3343" w:type="dxa"/>
            <w:gridSpan w:val="9"/>
            <w:shd w:val="clear" w:color="auto" w:fill="auto"/>
            <w:vAlign w:val="center"/>
          </w:tcPr>
          <w:p w14:paraId="084C8B0A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gor.muradyan@yerevan.am</w:t>
            </w:r>
          </w:p>
        </w:tc>
      </w:tr>
    </w:tbl>
    <w:p w14:paraId="4804DC84" w14:textId="77777777" w:rsidR="001021B0" w:rsidRPr="00993D4E" w:rsidRDefault="001021B0" w:rsidP="00BF1A5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</w:rPr>
      </w:pPr>
    </w:p>
    <w:sectPr w:rsidR="001021B0" w:rsidRPr="00993D4E" w:rsidSect="006D401E">
      <w:pgSz w:w="11907" w:h="16840" w:code="9"/>
      <w:pgMar w:top="63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23FD" w14:textId="77777777" w:rsidR="00F16EAE" w:rsidRDefault="00F16EAE" w:rsidP="0022631D">
      <w:pPr>
        <w:spacing w:before="0" w:after="0"/>
      </w:pPr>
      <w:r>
        <w:separator/>
      </w:r>
    </w:p>
  </w:endnote>
  <w:endnote w:type="continuationSeparator" w:id="0">
    <w:p w14:paraId="5C9E765A" w14:textId="77777777" w:rsidR="00F16EAE" w:rsidRDefault="00F16EA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4A24" w14:textId="77777777" w:rsidR="00F16EAE" w:rsidRDefault="00F16EAE" w:rsidP="0022631D">
      <w:pPr>
        <w:spacing w:before="0" w:after="0"/>
      </w:pPr>
      <w:r>
        <w:separator/>
      </w:r>
    </w:p>
  </w:footnote>
  <w:footnote w:type="continuationSeparator" w:id="0">
    <w:p w14:paraId="0B4D8D1D" w14:textId="77777777" w:rsidR="00F16EAE" w:rsidRDefault="00F16EAE" w:rsidP="0022631D">
      <w:pPr>
        <w:spacing w:before="0" w:after="0"/>
      </w:pPr>
      <w:r>
        <w:continuationSeparator/>
      </w:r>
    </w:p>
  </w:footnote>
  <w:footnote w:id="1">
    <w:p w14:paraId="74B8B9A6" w14:textId="77777777" w:rsidR="006C7653" w:rsidRPr="00541A77" w:rsidRDefault="006C765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DB7059C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15F2D61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B5CB7E1" w14:textId="77777777" w:rsidR="003323EB" w:rsidRPr="002D0BF6" w:rsidRDefault="003323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0F07242F" w14:textId="77777777" w:rsidR="003323EB" w:rsidRPr="002D0BF6" w:rsidRDefault="003323E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003D2B4" w14:textId="77777777" w:rsidR="003323EB" w:rsidRPr="00871366" w:rsidRDefault="003323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DB6FCA3" w14:textId="77777777" w:rsidR="003323EB" w:rsidRPr="002D0BF6" w:rsidRDefault="003323E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EA04D4" w14:textId="77777777" w:rsidR="003323EB" w:rsidRPr="0078682E" w:rsidRDefault="003323EB" w:rsidP="00086D1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1C81A59" w14:textId="77777777" w:rsidR="003323EB" w:rsidRPr="0078682E" w:rsidRDefault="003323EB" w:rsidP="00086D1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64A7A04C" w14:textId="77777777" w:rsidR="003323EB" w:rsidRPr="00005B9C" w:rsidRDefault="003323EB" w:rsidP="00086D11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FC077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F33"/>
    <w:multiLevelType w:val="multilevel"/>
    <w:tmpl w:val="18BA01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31530A"/>
    <w:multiLevelType w:val="hybridMultilevel"/>
    <w:tmpl w:val="C812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C3FD8"/>
    <w:multiLevelType w:val="multilevel"/>
    <w:tmpl w:val="89DAE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EF0437C"/>
    <w:multiLevelType w:val="hybridMultilevel"/>
    <w:tmpl w:val="D05A9096"/>
    <w:lvl w:ilvl="0" w:tplc="59D4A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02092"/>
    <w:multiLevelType w:val="multilevel"/>
    <w:tmpl w:val="EC7AA3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9343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273308">
    <w:abstractNumId w:val="5"/>
  </w:num>
  <w:num w:numId="3" w16cid:durableId="1132017031">
    <w:abstractNumId w:val="0"/>
  </w:num>
  <w:num w:numId="4" w16cid:durableId="2040080177">
    <w:abstractNumId w:val="2"/>
  </w:num>
  <w:num w:numId="5" w16cid:durableId="308022967">
    <w:abstractNumId w:val="7"/>
  </w:num>
  <w:num w:numId="6" w16cid:durableId="659502732">
    <w:abstractNumId w:val="3"/>
  </w:num>
  <w:num w:numId="7" w16cid:durableId="1406410921">
    <w:abstractNumId w:val="4"/>
  </w:num>
  <w:num w:numId="8" w16cid:durableId="845939596">
    <w:abstractNumId w:val="8"/>
  </w:num>
  <w:num w:numId="9" w16cid:durableId="1242132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6054"/>
    <w:rsid w:val="00012170"/>
    <w:rsid w:val="0001381D"/>
    <w:rsid w:val="00031406"/>
    <w:rsid w:val="0003393D"/>
    <w:rsid w:val="000345F4"/>
    <w:rsid w:val="00044EA8"/>
    <w:rsid w:val="00046CCF"/>
    <w:rsid w:val="00051ECE"/>
    <w:rsid w:val="00052744"/>
    <w:rsid w:val="000621C4"/>
    <w:rsid w:val="0007090E"/>
    <w:rsid w:val="00073D66"/>
    <w:rsid w:val="000866C4"/>
    <w:rsid w:val="00086D11"/>
    <w:rsid w:val="000B0199"/>
    <w:rsid w:val="000B28CB"/>
    <w:rsid w:val="000C293B"/>
    <w:rsid w:val="000E0D05"/>
    <w:rsid w:val="000E4FF1"/>
    <w:rsid w:val="000F376D"/>
    <w:rsid w:val="000F4705"/>
    <w:rsid w:val="001021B0"/>
    <w:rsid w:val="00103049"/>
    <w:rsid w:val="00106C65"/>
    <w:rsid w:val="00121D0C"/>
    <w:rsid w:val="0012326A"/>
    <w:rsid w:val="00140A15"/>
    <w:rsid w:val="00140E29"/>
    <w:rsid w:val="00182B72"/>
    <w:rsid w:val="0018422F"/>
    <w:rsid w:val="001950C4"/>
    <w:rsid w:val="001A1999"/>
    <w:rsid w:val="001A742B"/>
    <w:rsid w:val="001C1BE1"/>
    <w:rsid w:val="001C1C0C"/>
    <w:rsid w:val="001E0091"/>
    <w:rsid w:val="00210048"/>
    <w:rsid w:val="0022631D"/>
    <w:rsid w:val="00250E28"/>
    <w:rsid w:val="00263A6F"/>
    <w:rsid w:val="00271EFA"/>
    <w:rsid w:val="00295B92"/>
    <w:rsid w:val="002A1856"/>
    <w:rsid w:val="002B530B"/>
    <w:rsid w:val="002C2137"/>
    <w:rsid w:val="002E00A9"/>
    <w:rsid w:val="002E4E6F"/>
    <w:rsid w:val="002E58C2"/>
    <w:rsid w:val="002F16CC"/>
    <w:rsid w:val="002F1FEB"/>
    <w:rsid w:val="00324A68"/>
    <w:rsid w:val="00326141"/>
    <w:rsid w:val="003323EB"/>
    <w:rsid w:val="00371B1D"/>
    <w:rsid w:val="00375797"/>
    <w:rsid w:val="00386BCE"/>
    <w:rsid w:val="003876EE"/>
    <w:rsid w:val="003B2758"/>
    <w:rsid w:val="003D50A6"/>
    <w:rsid w:val="003E13A6"/>
    <w:rsid w:val="003E3D40"/>
    <w:rsid w:val="003E6753"/>
    <w:rsid w:val="003E6978"/>
    <w:rsid w:val="00411AB7"/>
    <w:rsid w:val="004121BB"/>
    <w:rsid w:val="00417269"/>
    <w:rsid w:val="00420C7A"/>
    <w:rsid w:val="00423A93"/>
    <w:rsid w:val="00426465"/>
    <w:rsid w:val="00426FF6"/>
    <w:rsid w:val="00433E3C"/>
    <w:rsid w:val="004434E1"/>
    <w:rsid w:val="00472069"/>
    <w:rsid w:val="00474C2F"/>
    <w:rsid w:val="004764CD"/>
    <w:rsid w:val="00477750"/>
    <w:rsid w:val="00481C48"/>
    <w:rsid w:val="004875E0"/>
    <w:rsid w:val="004A6386"/>
    <w:rsid w:val="004C1B10"/>
    <w:rsid w:val="004D078F"/>
    <w:rsid w:val="004E376E"/>
    <w:rsid w:val="004E64D2"/>
    <w:rsid w:val="004F38C0"/>
    <w:rsid w:val="004F4E9E"/>
    <w:rsid w:val="00503BCC"/>
    <w:rsid w:val="005064DD"/>
    <w:rsid w:val="005068B5"/>
    <w:rsid w:val="00513BE0"/>
    <w:rsid w:val="00514D6B"/>
    <w:rsid w:val="00521CDB"/>
    <w:rsid w:val="00536CF5"/>
    <w:rsid w:val="00546023"/>
    <w:rsid w:val="005737F9"/>
    <w:rsid w:val="00584FAD"/>
    <w:rsid w:val="00587DAF"/>
    <w:rsid w:val="0059266A"/>
    <w:rsid w:val="00595661"/>
    <w:rsid w:val="005A03C1"/>
    <w:rsid w:val="005A0E94"/>
    <w:rsid w:val="005A3CDB"/>
    <w:rsid w:val="005D5FBD"/>
    <w:rsid w:val="005E0AA2"/>
    <w:rsid w:val="00607C9A"/>
    <w:rsid w:val="00607FB6"/>
    <w:rsid w:val="00637F39"/>
    <w:rsid w:val="00640E38"/>
    <w:rsid w:val="0064192A"/>
    <w:rsid w:val="00646760"/>
    <w:rsid w:val="00654DC3"/>
    <w:rsid w:val="00655F54"/>
    <w:rsid w:val="00656E3D"/>
    <w:rsid w:val="00662817"/>
    <w:rsid w:val="0066518F"/>
    <w:rsid w:val="00676711"/>
    <w:rsid w:val="00682758"/>
    <w:rsid w:val="00682ACE"/>
    <w:rsid w:val="00690ECB"/>
    <w:rsid w:val="006926A1"/>
    <w:rsid w:val="00696477"/>
    <w:rsid w:val="006A0ECB"/>
    <w:rsid w:val="006A38B4"/>
    <w:rsid w:val="006B2E21"/>
    <w:rsid w:val="006C0266"/>
    <w:rsid w:val="006C7653"/>
    <w:rsid w:val="006D3258"/>
    <w:rsid w:val="006D401E"/>
    <w:rsid w:val="006E0D92"/>
    <w:rsid w:val="006E1A83"/>
    <w:rsid w:val="006E1B13"/>
    <w:rsid w:val="006E4958"/>
    <w:rsid w:val="006F2779"/>
    <w:rsid w:val="006F73B4"/>
    <w:rsid w:val="007060FC"/>
    <w:rsid w:val="007208F8"/>
    <w:rsid w:val="00750FC1"/>
    <w:rsid w:val="00770335"/>
    <w:rsid w:val="007732E7"/>
    <w:rsid w:val="0078682E"/>
    <w:rsid w:val="007A4283"/>
    <w:rsid w:val="007D2082"/>
    <w:rsid w:val="0081420B"/>
    <w:rsid w:val="0083560F"/>
    <w:rsid w:val="00835D49"/>
    <w:rsid w:val="00850B67"/>
    <w:rsid w:val="008656EC"/>
    <w:rsid w:val="00867D73"/>
    <w:rsid w:val="008C02D5"/>
    <w:rsid w:val="008C46E9"/>
    <w:rsid w:val="008C4E62"/>
    <w:rsid w:val="008D48B5"/>
    <w:rsid w:val="008D7A33"/>
    <w:rsid w:val="008E493A"/>
    <w:rsid w:val="009571C5"/>
    <w:rsid w:val="00970463"/>
    <w:rsid w:val="009768D4"/>
    <w:rsid w:val="009910F5"/>
    <w:rsid w:val="00993D4E"/>
    <w:rsid w:val="00996E79"/>
    <w:rsid w:val="009A18F0"/>
    <w:rsid w:val="009A384A"/>
    <w:rsid w:val="009C5E0F"/>
    <w:rsid w:val="009D4721"/>
    <w:rsid w:val="009E75FF"/>
    <w:rsid w:val="00A14BC6"/>
    <w:rsid w:val="00A15537"/>
    <w:rsid w:val="00A1603B"/>
    <w:rsid w:val="00A306F5"/>
    <w:rsid w:val="00A31820"/>
    <w:rsid w:val="00A31B8D"/>
    <w:rsid w:val="00A37D0E"/>
    <w:rsid w:val="00A64276"/>
    <w:rsid w:val="00A741B7"/>
    <w:rsid w:val="00A844E7"/>
    <w:rsid w:val="00A87A24"/>
    <w:rsid w:val="00AA32E4"/>
    <w:rsid w:val="00AA68F7"/>
    <w:rsid w:val="00AB6C98"/>
    <w:rsid w:val="00AD07B9"/>
    <w:rsid w:val="00AD59DC"/>
    <w:rsid w:val="00AE0E47"/>
    <w:rsid w:val="00AF49F5"/>
    <w:rsid w:val="00AF5182"/>
    <w:rsid w:val="00B20BC2"/>
    <w:rsid w:val="00B3336D"/>
    <w:rsid w:val="00B443E4"/>
    <w:rsid w:val="00B46664"/>
    <w:rsid w:val="00B75762"/>
    <w:rsid w:val="00B919F3"/>
    <w:rsid w:val="00B91DE2"/>
    <w:rsid w:val="00B94EA2"/>
    <w:rsid w:val="00BA03B0"/>
    <w:rsid w:val="00BB04B2"/>
    <w:rsid w:val="00BB0A93"/>
    <w:rsid w:val="00BB7862"/>
    <w:rsid w:val="00BC4D3B"/>
    <w:rsid w:val="00BD3D4E"/>
    <w:rsid w:val="00BF1465"/>
    <w:rsid w:val="00BF1A55"/>
    <w:rsid w:val="00BF4745"/>
    <w:rsid w:val="00C138FB"/>
    <w:rsid w:val="00C276B9"/>
    <w:rsid w:val="00C35236"/>
    <w:rsid w:val="00C4406A"/>
    <w:rsid w:val="00C57AA4"/>
    <w:rsid w:val="00C65BB6"/>
    <w:rsid w:val="00C77131"/>
    <w:rsid w:val="00C84DF7"/>
    <w:rsid w:val="00C859D0"/>
    <w:rsid w:val="00C96337"/>
    <w:rsid w:val="00C96BED"/>
    <w:rsid w:val="00CA09AD"/>
    <w:rsid w:val="00CB44D2"/>
    <w:rsid w:val="00CC1F23"/>
    <w:rsid w:val="00CC76BF"/>
    <w:rsid w:val="00CD41B1"/>
    <w:rsid w:val="00CF1F70"/>
    <w:rsid w:val="00D21A05"/>
    <w:rsid w:val="00D350DE"/>
    <w:rsid w:val="00D36189"/>
    <w:rsid w:val="00D366F3"/>
    <w:rsid w:val="00D477AB"/>
    <w:rsid w:val="00D80C64"/>
    <w:rsid w:val="00D94852"/>
    <w:rsid w:val="00DA4F0A"/>
    <w:rsid w:val="00DB225B"/>
    <w:rsid w:val="00DE06F1"/>
    <w:rsid w:val="00DF13B2"/>
    <w:rsid w:val="00E13251"/>
    <w:rsid w:val="00E243EA"/>
    <w:rsid w:val="00E33A25"/>
    <w:rsid w:val="00E4188B"/>
    <w:rsid w:val="00E45AED"/>
    <w:rsid w:val="00E54C4D"/>
    <w:rsid w:val="00E56328"/>
    <w:rsid w:val="00E6539D"/>
    <w:rsid w:val="00E70506"/>
    <w:rsid w:val="00EA01A2"/>
    <w:rsid w:val="00EA568C"/>
    <w:rsid w:val="00EA767F"/>
    <w:rsid w:val="00EB59EE"/>
    <w:rsid w:val="00EB61E3"/>
    <w:rsid w:val="00ED3A57"/>
    <w:rsid w:val="00EE1ED6"/>
    <w:rsid w:val="00EF16D0"/>
    <w:rsid w:val="00F10AFE"/>
    <w:rsid w:val="00F16EAE"/>
    <w:rsid w:val="00F31004"/>
    <w:rsid w:val="00F3768E"/>
    <w:rsid w:val="00F45C72"/>
    <w:rsid w:val="00F53117"/>
    <w:rsid w:val="00F557D9"/>
    <w:rsid w:val="00F64167"/>
    <w:rsid w:val="00F64E0C"/>
    <w:rsid w:val="00F6673B"/>
    <w:rsid w:val="00F77AAD"/>
    <w:rsid w:val="00F83738"/>
    <w:rsid w:val="00F916C4"/>
    <w:rsid w:val="00F95D4C"/>
    <w:rsid w:val="00FA553E"/>
    <w:rsid w:val="00FB097B"/>
    <w:rsid w:val="00FB37E6"/>
    <w:rsid w:val="00FB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97EA"/>
  <w15:docId w15:val="{AA0407F7-7810-4F47-9FF7-BB4A37D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NormalWeb">
    <w:name w:val="Normal (Web)"/>
    <w:basedOn w:val="Normal"/>
    <w:uiPriority w:val="99"/>
    <w:rsid w:val="00CA09A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rsid w:val="00CA09AD"/>
    <w:pPr>
      <w:numPr>
        <w:numId w:val="3"/>
      </w:numPr>
      <w:spacing w:before="0" w:after="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2326A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12326A"/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A741B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F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F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F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7FB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7186-45EE-46C4-881A-E15E294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Gor Muradyan</cp:lastModifiedBy>
  <cp:revision>130</cp:revision>
  <cp:lastPrinted>2024-01-04T10:35:00Z</cp:lastPrinted>
  <dcterms:created xsi:type="dcterms:W3CDTF">2021-06-28T12:08:00Z</dcterms:created>
  <dcterms:modified xsi:type="dcterms:W3CDTF">2024-01-04T10:41:00Z</dcterms:modified>
</cp:coreProperties>
</file>