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jc w:val="both"/>
        <w:rPr>
          <w:rFonts w:ascii="GHEA Grapalat" w:hAnsi="GHEA Grapalat" w:cs="Sylfaen"/>
          <w:sz w:val="20"/>
          <w:szCs w:val="20"/>
          <w:lang w:val="ru-RU"/>
        </w:rPr>
      </w:pPr>
    </w:p>
    <w:p>
      <w:pPr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ՀԱՅՏԱՐԱՐՈՒԹՅՈՒՆ</w:t>
      </w:r>
    </w:p>
    <w:p>
      <w:pPr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պայմանագիր կնքելու որոշման մասին</w:t>
      </w:r>
    </w:p>
    <w:p>
      <w:pPr>
        <w:pStyle w:val="P2"/>
        <w:rPr>
          <w:rFonts w:ascii="GHEA Grapalat" w:hAnsi="GHEA Grapalat" w:cs="Calibri"/>
          <w:b w:val="0"/>
          <w:i w:val="0"/>
          <w:color w:val="000000"/>
          <w:rtl w:val="0"/>
          <w:lang w:val="en-US" w:bidi="en-US" w:eastAsia="en-US"/>
        </w:rPr>
      </w:pPr>
      <w:r>
        <w:rPr>
          <w:rFonts w:ascii="GHEA Grapalat" w:hAnsi="GHEA Grapalat" w:cs="Sylfaen"/>
          <w:b w:val="0"/>
          <w:i w:val="0"/>
          <w:sz w:val="24"/>
          <w:szCs w:val="24"/>
          <w:lang w:val="af-ZA"/>
        </w:rPr>
        <w:t>Ընթացակարգի ծածկագիրը</w:t>
      </w:r>
      <w:r>
        <w:rPr>
          <w:rFonts w:ascii="GHEA Grapalat" w:hAnsi="GHEA Grapalat" w:cs="Arial"/>
          <w:b w:val="0"/>
          <w:i w:val="0"/>
          <w:sz w:val="24"/>
          <w:szCs w:val="24"/>
          <w:lang w:val="af-ZA"/>
        </w:rPr>
        <w:t xml:space="preserve">` </w:t>
      </w:r>
      <w:r>
        <w:rPr>
          <w:rFonts w:ascii="GHEA Grapalat" w:hAnsi="GHEA Grapalat"/>
          <w:b w:val="0"/>
          <w:i w:val="0"/>
          <w:sz w:val="24"/>
          <w:szCs w:val="24"/>
          <w:lang w:val="af-ZA"/>
        </w:rPr>
        <w:t></w:t>
      </w:r>
      <w:r>
        <w:rPr>
          <w:rFonts w:ascii="GHEA Grapalat" w:hAnsi="GHEA Grapalat" w:cs="Calibri"/>
          <w:b w:val="0"/>
          <w:i w:val="0"/>
          <w:color w:val="000000"/>
          <w:lang w:val="hy-AM"/>
        </w:rPr>
        <w:t xml:space="preserve"> ԿՄՀՔ-ՄԱ</w:t>
      </w:r>
      <w:r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>ԱՊ</w:t>
      </w:r>
      <w:r>
        <w:rPr>
          <w:rFonts w:ascii="GHEA Grapalat" w:hAnsi="GHEA Grapalat" w:cs="Calibri"/>
          <w:b w:val="0"/>
          <w:i w:val="0"/>
          <w:color w:val="000000"/>
          <w:lang w:val="hy-AM"/>
        </w:rPr>
        <w:t>ՁԲ-26/0</w:t>
      </w:r>
      <w:r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>6</w:t>
      </w:r>
    </w:p>
    <w:p>
      <w:pPr>
        <w:pStyle w:val="P2"/>
        <w:rPr>
          <w:rFonts w:ascii="GHEA Grapalat" w:hAnsi="GHEA Grapalat" w:cs="Sylfaen"/>
          <w:b w:val="0"/>
          <w:i w:val="0"/>
          <w:sz w:val="24"/>
          <w:szCs w:val="24"/>
          <w:lang w:val="hy-AM"/>
        </w:rPr>
      </w:pPr>
      <w:r>
        <w:rPr>
          <w:rFonts w:ascii="GHEA Grapalat" w:hAnsi="GHEA Grapalat"/>
          <w:b w:val="0"/>
          <w:i w:val="0"/>
          <w:sz w:val="24"/>
          <w:szCs w:val="24"/>
          <w:lang w:val="af-ZA"/>
        </w:rPr>
        <w:t></w:t>
      </w:r>
    </w:p>
    <w:p>
      <w:pPr>
        <w:spacing w:after="0" w:beforeAutospacing="0" w:afterAutospacing="0"/>
        <w:ind w:firstLine="709"/>
        <w:jc w:val="both"/>
        <w:rPr>
          <w:rFonts w:ascii="GHEA Grapalat" w:hAnsi="GHEA Grapalat" w:cs="Arial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Հրազդանի համայնքապետարանը </w:t>
      </w:r>
      <w:r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>ստորև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 </w:t>
      </w:r>
      <w:r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 xml:space="preserve">ներկայացնում է 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>202</w:t>
      </w:r>
      <w:r>
        <w:rPr>
          <w:rFonts w:ascii="GHEA Grapalat" w:hAnsi="GHEA Grapalat" w:cs="Sylfaen"/>
          <w:color w:val="000000" w:themeColor="text1"/>
          <w:sz w:val="24"/>
          <w:szCs w:val="24"/>
          <w:rtl w:val="0"/>
          <w:lang w:val="en-US" w:bidi="en-US" w:eastAsia="en-US"/>
        </w:rPr>
        <w:t>6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 թվականի </w:t>
      </w:r>
      <w:r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 xml:space="preserve"> կարիքների համար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 </w:t>
      </w:r>
      <w:r>
        <w:rPr>
          <w:rFonts w:ascii="GHEA Grapalat" w:hAnsi="GHEA Grapalat"/>
          <w:b w:val="0"/>
          <w:i w:val="0"/>
          <w:sz w:val="24"/>
          <w:szCs w:val="24"/>
          <w:lang w:val="af-ZA"/>
        </w:rPr>
        <w:t></w:t>
      </w:r>
      <w:r>
        <w:rPr>
          <w:rFonts w:ascii="GHEA Grapalat" w:hAnsi="GHEA Grapalat" w:cs="Calibri"/>
          <w:b w:val="0"/>
          <w:i w:val="0"/>
          <w:color w:val="000000"/>
          <w:lang w:val="hy-AM"/>
        </w:rPr>
        <w:t xml:space="preserve"> ԿՄՀՔ-ՄԱ</w:t>
      </w:r>
      <w:r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>ԱՊ</w:t>
      </w:r>
      <w:r>
        <w:rPr>
          <w:rFonts w:ascii="GHEA Grapalat" w:hAnsi="GHEA Grapalat" w:cs="Calibri"/>
          <w:b w:val="0"/>
          <w:i w:val="0"/>
          <w:color w:val="000000"/>
          <w:lang w:val="hy-AM"/>
        </w:rPr>
        <w:t>ՁԲ-26/0</w:t>
      </w:r>
      <w:r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ծածկագրով գնման ընթացակարգի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պայմանագիր կնքելու որոշման մասին տեղեկատվությունը</w:t>
      </w:r>
      <w:r>
        <w:rPr>
          <w:rFonts w:ascii="GHEA Grapalat" w:hAnsi="GHEA Grapalat" w:cs="Arial"/>
          <w:sz w:val="24"/>
          <w:szCs w:val="24"/>
          <w:lang w:val="hy-AM"/>
        </w:rPr>
        <w:t>:</w:t>
      </w:r>
      <w:bookmarkStart w:id="1" w:name="_GoBack"/>
      <w:bookmarkEnd w:id="1"/>
    </w:p>
    <w:p>
      <w:pPr>
        <w:tabs>
          <w:tab w:val="left" w:pos="448" w:leader="none"/>
        </w:tabs>
        <w:jc w:val="left"/>
        <w:rPr>
          <w:rFonts w:ascii="GHEA Grapalat" w:hAnsi="GHEA Grapalat" w:cs="Sylfaen"/>
          <w:lang w:val="af-ZA"/>
        </w:rPr>
      </w:pPr>
    </w:p>
    <w:p>
      <w:pPr>
        <w:spacing w:after="0" w:beforeAutospacing="0" w:afterAutospacing="0"/>
        <w:ind w:firstLine="0" w:left="0"/>
        <w:jc w:val="both"/>
        <w:rPr>
          <w:rFonts w:ascii="GHEA Grapalat" w:hAnsi="GHEA Grapalat" w:cs="Calibri"/>
          <w:color w:val="000000"/>
          <w:lang w:val="hy-AM"/>
        </w:rPr>
      </w:pPr>
      <w:r>
        <w:rPr>
          <w:rFonts w:ascii="GHEA Grapalat" w:hAnsi="GHEA Grapalat" w:cs="Sylfaen"/>
          <w:b w:val="1"/>
          <w:bCs w:val="1"/>
          <w:lang w:val="af-ZA" w:bidi="ar-SA" w:eastAsia="en-US"/>
        </w:rPr>
        <w:t>Գնման առարկա է հանդիսանում</w:t>
      </w:r>
      <w:r>
        <w:rPr>
          <w:rFonts w:ascii="GHEA Grapalat" w:hAnsi="GHEA Grapalat" w:cs="Sylfaen"/>
          <w:b w:val="1"/>
          <w:bCs w:val="1"/>
          <w:rtl w:val="0"/>
          <w:lang w:val="hy-AM" w:bidi="hy-AM" w:eastAsia="hy-AM"/>
        </w:rPr>
        <w:t xml:space="preserve"> </w:t>
      </w:r>
      <w:r>
        <w:rPr>
          <w:rFonts w:ascii="GHEA Grapalat" w:hAnsi="GHEA Grapalat"/>
          <w:rtl w:val="0"/>
          <w:lang w:val="hy-AM" w:bidi="hy-AM" w:eastAsia="hy-AM"/>
        </w:rPr>
        <w:t>՝Չափաբաժին 1․</w:t>
      </w:r>
      <w:r>
        <w:rPr>
          <w:rFonts w:ascii="GHEA Grapalat" w:hAnsi="GHEA Grapalat"/>
          <w:rtl w:val="0"/>
          <w:lang w:val="hy-AM" w:bidi="hy-AM" w:eastAsia="hy-AM"/>
        </w:rPr>
        <w:t xml:space="preserve">Ռոտորային ձյունամաքրիչ </w:t>
      </w:r>
      <w:r>
        <w:rPr>
          <w:rFonts w:ascii="GHEA Grapalat" w:hAnsi="GHEA Grapalat"/>
          <w:rtl w:val="0"/>
          <w:lang w:val="en-US" w:bidi="en-US" w:eastAsia="en-US"/>
        </w:rPr>
        <w:t>ST 5266P 2S</w:t>
      </w:r>
      <w:r>
        <w:rPr>
          <w:rFonts w:ascii="GHEA Grapalat" w:hAnsi="GHEA Grapalat"/>
          <w:rtl w:val="0"/>
          <w:lang w:val="en-US" w:bidi="en-US" w:eastAsia="en-US"/>
        </w:rPr>
        <w:t>2666611</w:t>
      </w:r>
      <w:r>
        <w:rPr>
          <w:rFonts w:ascii="GHEA Grapalat" w:hAnsi="GHEA Grapalat"/>
          <w:rtl w:val="0"/>
          <w:lang w:val="en-US" w:bidi="en-US" w:eastAsia="en-US"/>
        </w:rPr>
        <w:t>/S</w:t>
      </w:r>
      <w:r>
        <w:rPr>
          <w:rFonts w:ascii="GHEA Grapalat" w:hAnsi="GHEA Grapalat"/>
          <w:rtl w:val="0"/>
          <w:lang w:val="en-US" w:bidi="en-US" w:eastAsia="en-US"/>
        </w:rPr>
        <w:t>T1</w:t>
      </w:r>
    </w:p>
    <w:p>
      <w:pPr>
        <w:tabs>
          <w:tab w:val="left" w:pos="448" w:leader="none"/>
        </w:tabs>
        <w:jc w:val="left"/>
        <w:rPr>
          <w:rFonts w:ascii="GHEA Grapalat" w:hAnsi="GHEA Grapalat" w:cs="Sylfaen"/>
          <w:color w:val="000000"/>
          <w:lang w:val="hy-AM"/>
        </w:rPr>
      </w:pPr>
    </w:p>
    <w:tbl>
      <w:tblPr>
        <w:tblW w:w="10905" w:type="dxa"/>
        <w:jc w:val="center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1E0"/>
      </w:tblPr>
      <w:tblGrid>
        <w:gridCol w:w="593"/>
        <w:gridCol w:w="2700"/>
        <w:gridCol w:w="2160"/>
        <w:gridCol w:w="2374"/>
        <w:gridCol w:w="3078"/>
      </w:tblGrid>
      <w:tr>
        <w:trPr>
          <w:trHeight w:hRule="atLeast" w:val="56"/>
          <w:jc w:val="center"/>
        </w:trPr>
        <w:tc>
          <w:tcPr>
            <w:tcW w:w="5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pStyle w:val="P3"/>
              <w:spacing w:lineRule="auto" w:line="276" w:beforeAutospacing="0" w:afterAutospacing="0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27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Մասնակցի անվանումը</w:t>
            </w:r>
          </w:p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Հրավերի պահանջներին համապատասխանող հայտեր</w:t>
            </w:r>
          </w:p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/համապատասխանելու դեպքում նշել “X”/</w:t>
            </w:r>
          </w:p>
        </w:tc>
        <w:tc>
          <w:tcPr>
            <w:tcW w:w="2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Հրավերի պահանջներին չհամապատասխանող հայտեր</w:t>
            </w:r>
          </w:p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/չհամապատասխանելու դեպքում նշել “X”/</w:t>
            </w:r>
          </w:p>
        </w:tc>
        <w:tc>
          <w:tcPr>
            <w:tcW w:w="30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Անհամապատասխանության համառոտ նկարագրություն</w:t>
            </w:r>
          </w:p>
        </w:tc>
      </w:tr>
      <w:tr>
        <w:trPr>
          <w:trHeight w:hRule="atLeast" w:val="323"/>
          <w:jc w:val="center"/>
        </w:trPr>
        <w:tc>
          <w:tcPr>
            <w:tcW w:w="5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pStyle w:val="P6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</w:tcPr>
          <w:p>
            <w:pPr>
              <w:spacing w:after="0" w:beforeAutospacing="0" w:afterAutospacing="0"/>
              <w:rPr>
                <w:rFonts w:ascii="GHEA Grapalat" w:hAnsi="GHEA Grapalat" w:cs="Arial"/>
                <w:sz w:val="18"/>
                <w:szCs w:val="18"/>
              </w:rPr>
            </w:pPr>
          </w:p>
          <w:p>
            <w:pPr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«</w:t>
            </w:r>
            <w:r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>ԷՔՍՌԵՅԴ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>ՍՊԸ</w:t>
            </w:r>
          </w:p>
        </w:tc>
        <w:tc>
          <w:tcPr>
            <w:tcW w:w="21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“X”</w:t>
            </w:r>
          </w:p>
        </w:tc>
        <w:tc>
          <w:tcPr>
            <w:tcW w:w="2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spacing w:after="0" w:beforeAutospacing="0" w:afterAutospacing="0"/>
              <w:ind w:firstLine="57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spacing w:after="0" w:beforeAutospacing="0" w:afterAutospacing="0"/>
              <w:ind w:firstLine="57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</w:tbl>
    <w:tbl>
      <w:tblPr>
        <w:tblpPr w:bottomFromText="200" w:leftFromText="180" w:rightFromText="180" w:tblpX="1" w:tblpY="446" w:horzAnchor="margin" w:vertAnchor="text" w:tblpXSpec="center"/>
        <w:tblW w:w="10956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fixed"/>
        <w:tblLook w:val="04A0"/>
      </w:tblPr>
      <w:tblGrid>
        <w:gridCol w:w="648"/>
        <w:gridCol w:w="2610"/>
        <w:gridCol w:w="2250"/>
        <w:gridCol w:w="2340"/>
        <w:gridCol w:w="3108"/>
      </w:tblGrid>
      <w:tr>
        <w:trPr>
          <w:trHeight w:hRule="atLeast" w:val="83"/>
        </w:trPr>
        <w:tc>
          <w:tcPr>
            <w:tcW w:w="64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>
              <w:spacing w:lineRule="auto" w:line="276" w:beforeAutospacing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Չ/Հ.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Մասնակցի անունը</w:t>
            </w:r>
          </w:p>
        </w:tc>
        <w:tc>
          <w:tcPr>
            <w:tcW w:w="22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Մասնակիցների զբաղեցրած տեղերը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Ընտրված մասնակից /ընտրված մասնակցի համար նշել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</w:p>
        </w:tc>
        <w:tc>
          <w:tcPr>
            <w:tcW w:w="310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Մասնակցի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առաջարկած գին</w:t>
            </w:r>
          </w:p>
          <w:p>
            <w:pPr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/առանց ԱԱՀ /</w:t>
            </w:r>
          </w:p>
        </w:tc>
      </w:tr>
      <w:tr>
        <w:trPr>
          <w:trHeight w:hRule="atLeast" w:val="56"/>
        </w:trPr>
        <w:tc>
          <w:tcPr>
            <w:tcW w:w="64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pStyle w:val="P6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after="0" w:beforeAutospacing="0" w:afterAutospacing="0"/>
              <w:rPr>
                <w:rFonts w:ascii="GHEA Grapalat" w:hAnsi="GHEA Grapalat" w:cs="Arial"/>
                <w:sz w:val="18"/>
                <w:szCs w:val="18"/>
              </w:rPr>
            </w:pPr>
          </w:p>
          <w:p>
            <w:pPr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«</w:t>
            </w:r>
            <w:r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>ԷՔՍՌԵՅԴ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>ՍՊԸ</w:t>
            </w:r>
          </w:p>
          <w:p>
            <w:pPr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pStyle w:val="P3"/>
              <w:spacing w:lineRule="auto" w:line="276" w:beforeAutospacing="0" w:afterAutospacing="0"/>
              <w:ind w:firstLine="57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“X”</w:t>
            </w:r>
          </w:p>
        </w:tc>
        <w:tc>
          <w:tcPr>
            <w:tcW w:w="310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480" w:beforeAutospacing="0" w:afterAutospacing="0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  <w:rtl w:val="0"/>
                <w:lang w:val="en-US" w:bidi="en-US" w:eastAsia="en-US"/>
              </w:rPr>
              <w:t>6225</w:t>
            </w:r>
            <w:r>
              <w:rPr>
                <w:rFonts w:ascii="GHEA Grapalat" w:hAnsi="GHEA Grapalat" w:cs="Sylfaen"/>
                <w:color w:val="000000"/>
                <w:rtl w:val="0"/>
                <w:lang w:val="en-US" w:bidi="en-US" w:eastAsia="en-US"/>
              </w:rPr>
              <w:t>00</w:t>
            </w:r>
          </w:p>
        </w:tc>
      </w:tr>
    </w:tbl>
    <w:p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/>
        </w:rPr>
        <w:t xml:space="preserve"> </w:t>
      </w:r>
    </w:p>
    <w:p>
      <w:pPr>
        <w:pStyle w:val="P4"/>
        <w:rPr>
          <w:rFonts w:ascii="GHEA Grapalat" w:hAnsi="GHEA Grapalat"/>
          <w:color w:val="0000FF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rtl w:val="0"/>
          <w:lang w:val="hy-AM" w:bidi="hy-AM" w:eastAsia="hy-AM"/>
        </w:rPr>
        <w:t xml:space="preserve"> Ընտրված մասնակցին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որոշելու համար  կիրառված  չափանիշ՝  </w:t>
      </w:r>
      <w:r>
        <w:rPr>
          <w:rFonts w:ascii="GHEA Grapalat" w:hAnsi="GHEA Grapalat" w:cs="Sylfaen"/>
          <w:sz w:val="20"/>
          <w:szCs w:val="20"/>
          <w:lang w:val="es-ES"/>
        </w:rPr>
        <w:t>հրավերի պահանջներին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համապատասխան։</w:t>
      </w:r>
      <w:r>
        <w:rPr>
          <w:rFonts w:ascii="GHEA Grapalat" w:hAnsi="GHEA Grapalat" w:cs="Sylfaen"/>
          <w:sz w:val="20"/>
          <w:szCs w:val="20"/>
          <w:lang w:val="af-ZA"/>
        </w:rPr>
        <w:br w:type="textWrapping"/>
      </w:r>
      <w:r>
        <w:rPr>
          <w:rFonts w:ascii="GHEA Grapalat" w:hAnsi="GHEA Grapalat" w:cs="Sylfaen"/>
          <w:sz w:val="20"/>
          <w:szCs w:val="20"/>
          <w:lang w:val="hy-AM"/>
        </w:rPr>
        <w:t>«Գնումների մասին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 w:cs="David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ՀՀ  օրենքի</w:t>
      </w:r>
      <w:r>
        <w:rPr>
          <w:rFonts w:ascii="GHEA Grapalat" w:hAnsi="GHEA Grapalat" w:cs="David"/>
          <w:sz w:val="20"/>
          <w:szCs w:val="20"/>
          <w:lang w:val="hy-AM"/>
        </w:rPr>
        <w:t xml:space="preserve"> 10-</w:t>
      </w:r>
      <w:r>
        <w:rPr>
          <w:rFonts w:ascii="GHEA Grapalat" w:hAnsi="GHEA Grapalat" w:cs="Sylfaen"/>
          <w:sz w:val="20"/>
          <w:szCs w:val="20"/>
          <w:lang w:val="hy-AM"/>
        </w:rPr>
        <w:t xml:space="preserve">րդ  հոդվածի</w:t>
      </w:r>
      <w:r>
        <w:rPr>
          <w:rFonts w:ascii="GHEA Grapalat" w:hAnsi="GHEA Grapalat" w:cs="David"/>
          <w:sz w:val="20"/>
          <w:szCs w:val="20"/>
          <w:lang w:val="hy-AM"/>
        </w:rPr>
        <w:t xml:space="preserve">  4-</w:t>
      </w:r>
      <w:r>
        <w:rPr>
          <w:rFonts w:ascii="GHEA Grapalat" w:hAnsi="GHEA Grapalat" w:cs="Sylfaen"/>
          <w:sz w:val="20"/>
          <w:szCs w:val="20"/>
          <w:lang w:val="hy-AM"/>
        </w:rPr>
        <w:t xml:space="preserve">րդ </w:t>
      </w:r>
      <w:r>
        <w:rPr>
          <w:rFonts w:ascii="GHEA Grapalat" w:hAnsi="GHEA Grapalat" w:cs="Sylfaen"/>
          <w:sz w:val="20"/>
          <w:szCs w:val="20"/>
          <w:lang w:val="en-US"/>
        </w:rPr>
        <w:t>մասի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1-ին </w:t>
      </w:r>
      <w:r>
        <w:rPr>
          <w:rFonts w:ascii="GHEA Grapalat" w:hAnsi="GHEA Grapalat" w:cs="Sylfaen"/>
          <w:sz w:val="20"/>
          <w:szCs w:val="20"/>
          <w:lang w:val="en-US"/>
        </w:rPr>
        <w:t>կետի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համաձայն անգործության ժամկետ չի  կիրառվում։</w:t>
      </w:r>
      <w:r>
        <w:rPr>
          <w:rFonts w:ascii="GHEA Grapalat" w:hAnsi="GHEA Grapalat" w:cs="Sylfaen"/>
          <w:sz w:val="20"/>
          <w:szCs w:val="20"/>
          <w:lang w:val="hy-AM"/>
        </w:rPr>
        <w:br w:type="textWrapping"/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 w:eastAsia="Calibri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>
        <w:rPr>
          <w:rFonts w:ascii="GHEA Grapalat" w:hAnsi="GHEA Grapalat"/>
          <w:sz w:val="18"/>
          <w:szCs w:val="18"/>
          <w:lang w:val="af-ZA"/>
        </w:rPr>
        <w:t></w:t>
      </w:r>
      <w:r>
        <w:rPr>
          <w:rFonts w:ascii="GHEA Grapalat" w:hAnsi="GHEA Grapalat" w:cs="Calibri"/>
          <w:color w:val="000000"/>
          <w:lang w:val="hy-AM"/>
        </w:rPr>
        <w:t xml:space="preserve"> </w:t>
      </w:r>
      <w:r>
        <w:rPr>
          <w:rFonts w:ascii="GHEA Grapalat" w:hAnsi="GHEA Grapalat" w:cs="Calibri"/>
          <w:color w:val="000000"/>
          <w:rtl w:val="0"/>
          <w:lang w:val="hy-AM" w:bidi="hy-AM" w:eastAsia="hy-AM"/>
        </w:rPr>
        <w:t>ԿՄՀՔ</w:t>
      </w:r>
      <w:r>
        <w:rPr>
          <w:rFonts w:ascii="GHEA Grapalat" w:hAnsi="GHEA Grapalat" w:cs="Calibri"/>
          <w:color w:val="000000"/>
          <w:lang w:val="hy-AM"/>
        </w:rPr>
        <w:t>-</w:t>
      </w:r>
      <w:r>
        <w:rPr>
          <w:rFonts w:ascii="GHEA Grapalat" w:hAnsi="GHEA Grapalat" w:cs="Calibri"/>
          <w:color w:val="000000"/>
          <w:rtl w:val="0"/>
          <w:lang w:val="hy-AM" w:bidi="hy-AM" w:eastAsia="hy-AM"/>
        </w:rPr>
        <w:t>ՄԱ</w:t>
      </w:r>
      <w:r>
        <w:rPr>
          <w:rFonts w:ascii="GHEA Grapalat" w:hAnsi="GHEA Grapalat" w:cs="Calibri"/>
          <w:color w:val="000000"/>
          <w:rtl w:val="0"/>
          <w:lang w:val="hy-AM" w:bidi="hy-AM" w:eastAsia="hy-AM"/>
        </w:rPr>
        <w:t>ԱՊ</w:t>
      </w:r>
      <w:r>
        <w:rPr>
          <w:rFonts w:ascii="GHEA Grapalat" w:hAnsi="GHEA Grapalat" w:cs="Calibri"/>
          <w:color w:val="000000"/>
          <w:rtl w:val="0"/>
          <w:lang w:val="hy-AM" w:bidi="hy-AM" w:eastAsia="hy-AM"/>
        </w:rPr>
        <w:t>ՁԲ-26/0</w:t>
      </w:r>
      <w:r>
        <w:rPr>
          <w:rFonts w:ascii="GHEA Grapalat" w:hAnsi="GHEA Grapalat" w:cs="Calibri"/>
          <w:color w:val="000000"/>
          <w:rtl w:val="0"/>
          <w:lang w:val="hy-AM" w:bidi="hy-AM" w:eastAsia="hy-AM"/>
        </w:rPr>
        <w:t>6</w:t>
      </w:r>
      <w:r>
        <w:rPr>
          <w:rFonts w:ascii="GHEA Grapalat" w:hAnsi="GHEA Grapalat" w:cs="Sylfaen" w:eastAsia="Calibri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 w:eastAsia="Calibri"/>
          <w:sz w:val="20"/>
          <w:szCs w:val="20"/>
          <w:lang w:val="hy-AM"/>
        </w:rPr>
        <w:t xml:space="preserve">գնումների համակարգող՝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Արմինե Ավագյանին </w:t>
      </w:r>
      <w:r>
        <w:rPr>
          <w:rFonts w:ascii="GHEA Grapalat" w:hAnsi="GHEA Grapalat"/>
          <w:sz w:val="20"/>
          <w:szCs w:val="20"/>
          <w:lang w:val="af-ZA"/>
        </w:rPr>
        <w:br w:type="textWrapping"/>
      </w:r>
      <w:r>
        <w:rPr>
          <w:rFonts w:ascii="GHEA Grapalat" w:hAnsi="GHEA Grapalat" w:cs="Sylfaen"/>
          <w:sz w:val="20"/>
          <w:szCs w:val="20"/>
          <w:lang w:val="af-ZA"/>
        </w:rPr>
        <w:t>Էլ</w:t>
      </w:r>
      <w:r>
        <w:rPr>
          <w:rFonts w:ascii="GHEA Grapalat" w:hAnsi="GHEA Grapalat"/>
          <w:sz w:val="20"/>
          <w:szCs w:val="20"/>
          <w:lang w:val="af-ZA"/>
        </w:rPr>
        <w:t xml:space="preserve">. </w:t>
      </w:r>
      <w:r>
        <w:rPr>
          <w:rFonts w:ascii="GHEA Grapalat" w:hAnsi="GHEA Grapalat" w:cs="Sylfaen"/>
          <w:sz w:val="20"/>
          <w:szCs w:val="20"/>
          <w:lang w:val="af-ZA"/>
        </w:rPr>
        <w:t>փոստ</w:t>
      </w:r>
      <w:r>
        <w:rPr>
          <w:rFonts w:ascii="GHEA Grapalat" w:hAnsi="GHEA Grapalat"/>
          <w:sz w:val="20"/>
          <w:szCs w:val="20"/>
          <w:lang w:val="af-ZA"/>
        </w:rPr>
        <w:t xml:space="preserve"> `  </w:t>
      </w:r>
      <w:r>
        <w:rPr>
          <w:rFonts w:ascii="GHEA Grapalat" w:hAnsi="GHEA Grapalat"/>
          <w:sz w:val="20"/>
          <w:szCs w:val="20"/>
          <w:lang w:val="hy-AM"/>
        </w:rPr>
        <w:t>armine</w:t>
      </w:r>
      <w:r>
        <w:rPr>
          <w:rFonts w:ascii="GHEA Grapalat" w:hAnsi="GHEA Grapalat"/>
          <w:sz w:val="20"/>
          <w:szCs w:val="20"/>
          <w:shd w:val="clear" w:color="auto" w:fill="FFFFFF"/>
          <w:lang w:val="hy-AM"/>
        </w:rPr>
        <w:t>gnumner@gmail.com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 </w:t>
      </w:r>
    </w:p>
    <w:p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>
      <w:pPr>
        <w:jc w:val="both"/>
        <w:rPr>
          <w:rFonts w:ascii="GHEA Grapalat" w:hAnsi="GHEA Grapalat"/>
          <w:lang w:val="hy-AM"/>
        </w:rPr>
      </w:pPr>
    </w:p>
    <w:p>
      <w:pPr>
        <w:jc w:val="both"/>
        <w:rPr>
          <w:rFonts w:ascii="GHEA Grapalat" w:hAnsi="GHEA Grapalat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  <w:tab/>
        <w:tab/>
        <w:tab/>
        <w:t xml:space="preserve">  </w:t>
      </w: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>
      <w:type w:val="nextPage"/>
      <w:pgSz w:w="11906" w:h="16838" w:code="0"/>
      <w:pgMar w:left="810" w:right="296" w:top="28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ru-RU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>
      <w:spacing w:lineRule="auto" w:line="240" w:beforeAutospacing="0" w:afterAutospacing="0"/>
      <w:jc w:val="center"/>
    </w:pPr>
    <w:rPr>
      <w:rFonts w:ascii="Sylfaen" w:hAnsi="Sylfaen"/>
      <w:lang w:val="en-US"/>
    </w:rPr>
  </w:style>
  <w:style w:type="paragraph" w:styleId="P1">
    <w:name w:val="Heading 1"/>
    <w:basedOn w:val="P0"/>
    <w:next w:val="P0"/>
    <w:link w:val="C7"/>
    <w:qFormat/>
    <w:pPr>
      <w:keepNext w:val="1"/>
      <w:keepLines w:val="1"/>
      <w:spacing w:before="480" w:after="0" w:beforeAutospacing="0" w:afterAutospacing="0"/>
      <w:outlineLvl w:val="0"/>
    </w:pPr>
    <w:rPr>
      <w:rFonts w:asciiTheme="majorHAnsi" w:hAnsiTheme="majorHAnsi" w:cstheme="majorBidi" w:eastAsiaTheme="majorEastAsia"/>
      <w:b w:val="1"/>
      <w:bCs w:val="1"/>
      <w:color w:val="376092" w:themeColor="accent1" w:themeShade="BF"/>
      <w:sz w:val="28"/>
      <w:szCs w:val="28"/>
    </w:rPr>
  </w:style>
  <w:style w:type="paragraph" w:styleId="P2">
    <w:name w:val="Heading 3"/>
    <w:basedOn w:val="P0"/>
    <w:next w:val="P0"/>
    <w:link w:val="C3"/>
    <w:qFormat/>
    <w:pPr>
      <w:keepNext w:val="1"/>
      <w:spacing w:after="0" w:beforeAutospacing="0" w:afterAutospacing="0"/>
      <w:outlineLvl w:val="2"/>
    </w:pPr>
    <w:rPr>
      <w:rFonts w:ascii="Times Armenian" w:hAnsi="Times Armenian" w:cs="Times New Roman" w:eastAsia="Times New Roman"/>
      <w:b w:val="1"/>
      <w:i w:val="1"/>
      <w:szCs w:val="20"/>
      <w:lang w:eastAsia="ru-RU"/>
    </w:rPr>
  </w:style>
  <w:style w:type="paragraph" w:styleId="P3">
    <w:name w:val="Body Text Indent 3"/>
    <w:basedOn w:val="P0"/>
    <w:link w:val="C4"/>
    <w:pPr>
      <w:spacing w:after="120" w:beforeAutospacing="0" w:afterAutospacing="0"/>
      <w:ind w:left="283"/>
    </w:pPr>
    <w:rPr>
      <w:sz w:val="16"/>
      <w:szCs w:val="16"/>
    </w:rPr>
  </w:style>
  <w:style w:type="paragraph" w:styleId="P4">
    <w:name w:val="Normal (Web)"/>
    <w:basedOn w:val="P0"/>
    <w:pPr>
      <w:spacing w:before="100" w:after="100" w:beforeAutospacing="1" w:afterAutospacing="1"/>
      <w:jc w:val="left"/>
    </w:pPr>
    <w:rPr>
      <w:rFonts w:ascii="Times New Roman" w:hAnsi="Times New Roman" w:cs="Times New Roman" w:eastAsia="Times New Roman"/>
      <w:sz w:val="24"/>
      <w:szCs w:val="24"/>
      <w:lang w:val="ru-RU" w:eastAsia="ru-RU"/>
    </w:rPr>
  </w:style>
  <w:style w:type="paragraph" w:styleId="P5">
    <w:name w:val="Body Text Indent"/>
    <w:basedOn w:val="P0"/>
    <w:link w:val="C5"/>
    <w:pPr>
      <w:spacing w:after="120" w:beforeAutospacing="0" w:afterAutospacing="0"/>
      <w:ind w:left="283"/>
    </w:pPr>
    <w:rPr/>
  </w:style>
  <w:style w:type="paragraph" w:styleId="P6">
    <w:name w:val="List Paragraph"/>
    <w:basedOn w:val="P0"/>
    <w:qFormat/>
    <w:pPr>
      <w:ind w:left="720"/>
      <w:contextualSpacing w:val="1"/>
    </w:pPr>
    <w:rPr/>
  </w:style>
  <w:style w:type="paragraph" w:styleId="P7">
    <w:name w:val="Body Text Indent 2"/>
    <w:basedOn w:val="P0"/>
    <w:link w:val="C6"/>
    <w:pPr>
      <w:spacing w:lineRule="auto" w:line="360" w:after="0" w:beforeAutospacing="0" w:afterAutospacing="0"/>
      <w:ind w:firstLine="540"/>
      <w:jc w:val="both"/>
    </w:pPr>
    <w:rPr>
      <w:rFonts w:ascii="Baltica" w:hAnsi="Baltica" w:cs="Times New Roman" w:eastAsia="Times New Roman"/>
      <w:sz w:val="20"/>
      <w:szCs w:val="20"/>
      <w:lang w:val="af-Z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Заголовок 3 Знак"/>
    <w:basedOn w:val="C0"/>
    <w:link w:val="P2"/>
    <w:rPr>
      <w:rFonts w:ascii="Times Armenian" w:hAnsi="Times Armenian" w:cs="Times New Roman" w:eastAsia="Times New Roman"/>
      <w:b w:val="1"/>
      <w:i w:val="1"/>
      <w:szCs w:val="20"/>
      <w:lang w:val="en-US" w:eastAsia="ru-RU"/>
    </w:rPr>
  </w:style>
  <w:style w:type="character" w:styleId="C4">
    <w:name w:val="Основной текст с отступом 3 Знак"/>
    <w:basedOn w:val="C0"/>
    <w:link w:val="P3"/>
    <w:rPr>
      <w:rFonts w:ascii="Sylfaen" w:hAnsi="Sylfaen"/>
      <w:sz w:val="16"/>
      <w:szCs w:val="16"/>
      <w:lang w:val="en-US"/>
    </w:rPr>
  </w:style>
  <w:style w:type="character" w:styleId="C5">
    <w:name w:val="Основной текст с отступом Знак"/>
    <w:basedOn w:val="C0"/>
    <w:link w:val="P5"/>
    <w:rPr>
      <w:rFonts w:ascii="Sylfaen" w:hAnsi="Sylfaen"/>
      <w:lang w:val="en-US"/>
    </w:rPr>
  </w:style>
  <w:style w:type="character" w:styleId="C6">
    <w:name w:val="Основной текст с отступом 2 Знак"/>
    <w:basedOn w:val="C0"/>
    <w:link w:val="P7"/>
    <w:rPr>
      <w:rFonts w:ascii="Baltica" w:hAnsi="Baltica" w:cs="Times New Roman" w:eastAsia="Times New Roman"/>
      <w:sz w:val="20"/>
      <w:szCs w:val="20"/>
      <w:lang w:val="af-ZA"/>
    </w:rPr>
  </w:style>
  <w:style w:type="character" w:styleId="C7">
    <w:name w:val="Заголовок 1 Знак"/>
    <w:basedOn w:val="C0"/>
    <w:link w:val="P1"/>
    <w:rPr>
      <w:rFonts w:asciiTheme="majorHAnsi" w:hAnsiTheme="majorHAnsi" w:cstheme="majorBidi" w:eastAsiaTheme="majorEastAsia"/>
      <w:b w:val="1"/>
      <w:bCs w:val="1"/>
      <w:color w:val="376092" w:themeColor="accent1" w:themeShade="BF"/>
      <w:sz w:val="28"/>
      <w:szCs w:val="28"/>
      <w:lang w:val="en-US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afba-e1ed-47e3-9c0d-b3707d736c2d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API/25.1.3.0</Application>
  <AppVersion>25.1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Davo</dc:creator>
  <dcterms:created xsi:type="dcterms:W3CDTF">2026-01-20T18:31:44Z</dcterms:created>
  <cp:lastPrinted>2023-01-17T22:38:00Z</cp:lastPrinted>
  <dcterms:modified xsi:type="dcterms:W3CDTF">2026-01-20T19:02:52Z</dcterms:modified>
  <cp:revision>1</cp:revision>
</cp:coreProperties>
</file>