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DE219F">
        <w:rPr>
          <w:rFonts w:ascii="GHEA Grapalat" w:hAnsi="GHEA Grapalat"/>
          <w:b/>
          <w:sz w:val="20"/>
        </w:rPr>
        <w:t>ПВ-КОК-ПУ-2020/13-16</w:t>
      </w:r>
      <w:r w:rsidR="005461BC" w:rsidRPr="00D0313C">
        <w:rPr>
          <w:rFonts w:ascii="GHEA Grapalat" w:hAnsi="GHEA Grapalat"/>
          <w:sz w:val="20"/>
        </w:rPr>
        <w:t>, заключенном 20</w:t>
      </w:r>
      <w:r w:rsidR="004145E9" w:rsidRPr="00D0313C">
        <w:rPr>
          <w:rFonts w:ascii="GHEA Grapalat" w:hAnsi="GHEA Grapalat"/>
          <w:sz w:val="20"/>
          <w:lang w:val="hy-AM"/>
        </w:rPr>
        <w:t>20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 xml:space="preserve">года </w:t>
      </w:r>
      <w:r w:rsidR="009459E1">
        <w:rPr>
          <w:rFonts w:ascii="GHEA Grapalat" w:hAnsi="GHEA Grapalat"/>
          <w:b/>
          <w:sz w:val="20"/>
        </w:rPr>
        <w:t>5</w:t>
      </w:r>
      <w:r w:rsidRPr="00D0313C">
        <w:rPr>
          <w:rFonts w:ascii="GHEA Grapalat" w:hAnsi="GHEA Grapalat"/>
          <w:b/>
          <w:sz w:val="20"/>
        </w:rPr>
        <w:t xml:space="preserve"> </w:t>
      </w:r>
      <w:r w:rsidR="009459E1">
        <w:rPr>
          <w:rFonts w:ascii="GHEA Grapalat" w:hAnsi="GHEA Grapalat"/>
          <w:b/>
          <w:sz w:val="20"/>
        </w:rPr>
        <w:t xml:space="preserve">июня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DE219F">
        <w:rPr>
          <w:rFonts w:ascii="GHEA Grapalat" w:hAnsi="GHEA Grapalat"/>
          <w:b/>
          <w:sz w:val="20"/>
        </w:rPr>
        <w:t>ПВ-КОК-ПУ-2020/13-16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219F" w:rsidRPr="00D0313C" w:rsidRDefault="00DE21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1,860,000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1,860,000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C5BF1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C5BF1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Хачпар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21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Хачпар</w:t>
            </w:r>
          </w:p>
        </w:tc>
      </w:tr>
      <w:tr w:rsidR="00DE219F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219F" w:rsidRPr="00B4732D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2,532,000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2,532,000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21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Арбат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21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Арбат</w:t>
            </w:r>
          </w:p>
        </w:tc>
      </w:tr>
      <w:tr w:rsidR="00DE219F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219F" w:rsidRPr="009459E1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3,376,000</w:t>
            </w:r>
          </w:p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3,376,000</w:t>
            </w:r>
          </w:p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21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Азатаван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21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Азатаван</w:t>
            </w:r>
          </w:p>
        </w:tc>
      </w:tr>
      <w:tr w:rsidR="00DE219F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219F" w:rsidRPr="009459E1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3,921,000</w:t>
            </w:r>
          </w:p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391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3,921,000</w:t>
            </w:r>
          </w:p>
          <w:p w:rsidR="00DE219F" w:rsidRPr="006D391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21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Гукасаван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21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в области проектирования –  Гукасаван</w:t>
            </w:r>
          </w:p>
        </w:tc>
      </w:tr>
      <w:tr w:rsidR="00DE219F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E219F" w:rsidRPr="00D0313C" w:rsidRDefault="00DE219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DE219F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219F" w:rsidRPr="00D0313C" w:rsidRDefault="00DE219F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19F" w:rsidRPr="00D0313C" w:rsidRDefault="00DE21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DE219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9459E1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05.02.2020</w:t>
            </w: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31.01.2020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03.02.2020</w:t>
            </w:r>
          </w:p>
        </w:tc>
      </w:tr>
      <w:tr w:rsidR="00DE21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E219F" w:rsidRPr="00D0313C" w:rsidRDefault="00DE219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E219F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E219F" w:rsidRPr="00D0313C" w:rsidRDefault="00DE219F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E219F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E219F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E219F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D0313C" w:rsidRDefault="00DE219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E219F" w:rsidRPr="00D0313C" w:rsidRDefault="00DE219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E219F" w:rsidRPr="00D0313C" w:rsidTr="00DE21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D0313C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1,344,000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1,344,000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268,800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268,800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1,612,800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1,612,800</w:t>
            </w:r>
          </w:p>
        </w:tc>
      </w:tr>
      <w:tr w:rsidR="00DE219F" w:rsidRPr="00D0313C" w:rsidTr="00DE21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B4732D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1,505,000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1,505,000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301,000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301,000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1,806,000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1,806,000</w:t>
            </w:r>
          </w:p>
        </w:tc>
      </w:tr>
      <w:tr w:rsidR="00DE219F" w:rsidRPr="00D0313C" w:rsidTr="00DE21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КОМУННАХАГИТС ИНСТИТУТ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1,650,000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1,650,000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1,650,000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1,650,000</w:t>
            </w:r>
          </w:p>
        </w:tc>
      </w:tr>
      <w:tr w:rsidR="00DE219F" w:rsidRPr="00D0313C" w:rsidTr="00DE21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1,400,000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1,400,000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280,000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280,000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1,680,000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1,680,000</w:t>
            </w:r>
          </w:p>
        </w:tc>
      </w:tr>
      <w:tr w:rsidR="00DE219F" w:rsidRPr="00D0313C" w:rsidTr="006E6464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B4732D" w:rsidRDefault="00DE219F" w:rsidP="00E51D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B4732D" w:rsidRDefault="00DE219F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E219F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1,736,000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1,736,000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347,200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347,200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2,083,200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2,083,200</w:t>
            </w:r>
          </w:p>
        </w:tc>
      </w:tr>
      <w:tr w:rsidR="00DE219F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2,080,000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2,080,000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416,000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416,000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2,496,000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2,496,000</w:t>
            </w:r>
          </w:p>
        </w:tc>
      </w:tr>
      <w:tr w:rsidR="00DE219F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2,000,000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400,000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400,000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6D391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391F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</w:tr>
      <w:tr w:rsidR="00DE219F" w:rsidRPr="00D0313C" w:rsidTr="00126D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B4732D" w:rsidRDefault="00DE219F" w:rsidP="00474F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E219F" w:rsidRPr="00D0313C" w:rsidRDefault="00DE219F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EE59CF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24FB6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B4732D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2,352,000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2,352,000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470,400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470,400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2,822,400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2,822,400</w:t>
            </w: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B4732D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ХОЯНК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2,400,000</w:t>
            </w: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2,770,000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2,770,000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554,000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554,000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3,324,000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3,324,000</w:t>
            </w: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2,700,000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2,700,000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540,000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540,000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3,240,000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3,240,000</w:t>
            </w:r>
          </w:p>
        </w:tc>
      </w:tr>
      <w:tr w:rsidR="00DE219F" w:rsidRPr="00D0313C" w:rsidTr="00905D5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Лот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B4732D" w:rsidRDefault="00DE219F" w:rsidP="00DE21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B239F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B239F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B239F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B239F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B239F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B239F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2,744,000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2,744,000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548,800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548,800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3,292,800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3,292,800</w:t>
            </w: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DE219F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3,220,000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3,220,000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644,000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644,000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3,864,000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3,864,000</w:t>
            </w:r>
          </w:p>
        </w:tc>
      </w:tr>
      <w:tr w:rsidR="00DE219F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DE219F" w:rsidRPr="009459E1" w:rsidRDefault="00DE219F" w:rsidP="00DE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219F" w:rsidRPr="00DE219F" w:rsidRDefault="00DE219F" w:rsidP="00DE21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3,600,000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219F" w:rsidRPr="002C470C" w:rsidRDefault="00DE219F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C470C">
              <w:rPr>
                <w:rFonts w:ascii="GHEA Grapalat" w:hAnsi="GHEA Grapalat" w:cs="Sylfaen"/>
                <w:b/>
                <w:sz w:val="12"/>
                <w:szCs w:val="12"/>
              </w:rPr>
              <w:t>3,600,000</w:t>
            </w:r>
          </w:p>
        </w:tc>
      </w:tr>
      <w:tr w:rsidR="00DE219F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9459E1" w:rsidRDefault="00DE219F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DE219F" w:rsidRPr="00ED2164" w:rsidRDefault="00DE219F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E219F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E219F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E219F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4F004B" w:rsidRDefault="00DE219F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Tossab Consulting Engineers Company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DE219F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F2AE3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9459E1" w:rsidRDefault="00DE219F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КОМУННАХАГИТС ИНСТИТУТ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E219F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</w:rPr>
              <w:t>ООО ХОЯНК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51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E219F" w:rsidRPr="00D0313C" w:rsidRDefault="00DE219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DE219F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459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ДЖИНДЖ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было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объявлено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избранным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участником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однако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из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банка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обеспечить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квалификацию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виде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банковских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гарантий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отказалось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заключения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E219F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219F" w:rsidRPr="00D0313C" w:rsidRDefault="00DE219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DE219F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E219F" w:rsidRPr="00D0313C" w:rsidRDefault="00DE219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E219F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19F" w:rsidRPr="00D0313C" w:rsidRDefault="00DE219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DE219F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19F" w:rsidRPr="00D0313C" w:rsidRDefault="00DE219F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DE219F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DE219F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B239FC" w:rsidRDefault="00DE219F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DE219F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19F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E219F" w:rsidRPr="00D0313C" w:rsidRDefault="00DE219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219F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219F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219F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19F" w:rsidRPr="00D0313C" w:rsidRDefault="00DE219F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73805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73805" w:rsidRPr="009459E1" w:rsidRDefault="00B73805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3805" w:rsidRPr="00DE219F" w:rsidRDefault="00B73805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ООО ДЖРТУК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3805" w:rsidRPr="00D0313C" w:rsidRDefault="00B73805" w:rsidP="009459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ПВ-КОК-ПУ-2020/13-16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3805" w:rsidRPr="00B239FC" w:rsidRDefault="00B73805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3805" w:rsidRPr="00D0313C" w:rsidRDefault="00B73805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3805" w:rsidRPr="00D0313C" w:rsidRDefault="00B73805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3805" w:rsidRPr="00D8719F" w:rsidRDefault="00B73805" w:rsidP="00E51D6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19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9,811,200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73805" w:rsidRPr="00D8719F" w:rsidRDefault="00B73805" w:rsidP="00E51D6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19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9,811,200</w:t>
            </w:r>
          </w:p>
        </w:tc>
      </w:tr>
      <w:tr w:rsidR="00B73805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73805" w:rsidRPr="00D0313C" w:rsidRDefault="00B738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73805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73805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9459E1" w:rsidRDefault="00B73805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E219F" w:rsidRDefault="00B73805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DE219F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ООО ДЖРТУК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E51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г. Ереван,  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Гюлбенкяна 43, кв. 103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B239FC" w:rsidRDefault="00B73805" w:rsidP="00E51D62">
            <w:pPr>
              <w:jc w:val="center"/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</w:pPr>
            <w:hyperlink r:id="rId9" w:history="1">
              <w:r w:rsidRPr="009A673E">
                <w:rPr>
                  <w:rStyle w:val="Hyperlink"/>
                  <w:rFonts w:ascii="Calibri" w:hAnsi="Calibri" w:cs="Calibri"/>
                  <w:sz w:val="18"/>
                  <w:szCs w:val="22"/>
                </w:rPr>
                <w:t>info@jrtuk.am</w:t>
              </w:r>
            </w:hyperlink>
            <w:r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B239FC" w:rsidRDefault="00B73805" w:rsidP="00E51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15700 13406430100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B239FC" w:rsidRDefault="00B73805" w:rsidP="00E51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</w:rPr>
              <w:t>01218107</w:t>
            </w:r>
          </w:p>
        </w:tc>
      </w:tr>
      <w:tr w:rsidR="00B73805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73805" w:rsidRPr="00D0313C" w:rsidRDefault="00B7380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805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805" w:rsidRDefault="00B73805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B73805" w:rsidRPr="00D0313C" w:rsidRDefault="00B73805" w:rsidP="00B73805">
            <w:pPr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B73805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73805" w:rsidRPr="00D0313C" w:rsidRDefault="00B7380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3805" w:rsidRPr="00D0313C" w:rsidRDefault="00B7380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73805" w:rsidRPr="00D0313C" w:rsidRDefault="00B7380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B73805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73805" w:rsidRPr="00D0313C" w:rsidRDefault="00B738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73805" w:rsidRPr="00D0313C" w:rsidRDefault="00B738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3805" w:rsidRPr="00D0313C" w:rsidRDefault="00B7380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73805" w:rsidRPr="00D0313C" w:rsidRDefault="00B7380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73805" w:rsidRPr="00D0313C" w:rsidRDefault="00B7380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805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73805" w:rsidRPr="00D0313C" w:rsidRDefault="00B7380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73805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805" w:rsidRPr="00D0313C" w:rsidRDefault="00B7380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73805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73805" w:rsidRPr="00D0313C" w:rsidRDefault="00B7380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73805" w:rsidRPr="00D0313C" w:rsidRDefault="00B73805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73805" w:rsidRPr="00D0313C" w:rsidRDefault="00B73805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D0313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a.bazeyan@atdf.am</w:t>
              </w:r>
            </w:hyperlink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D0313C">
        <w:rPr>
          <w:rFonts w:ascii="GHEA Grapalat" w:hAnsi="GHEA Grapalat"/>
          <w:sz w:val="20"/>
          <w:lang w:val="en-US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7380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E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7192A"/>
    <w:rsid w:val="00B737D5"/>
    <w:rsid w:val="00B7380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219F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jrtu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F967-8A4D-4412-B6ED-BFE4ACE0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50</cp:revision>
  <cp:lastPrinted>2015-07-14T07:47:00Z</cp:lastPrinted>
  <dcterms:created xsi:type="dcterms:W3CDTF">2018-08-09T07:28:00Z</dcterms:created>
  <dcterms:modified xsi:type="dcterms:W3CDTF">2020-06-08T15:08:00Z</dcterms:modified>
</cp:coreProperties>
</file>