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546C6B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546C6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546C6B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46C6B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546C6B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546C6B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546C6B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535329" w:rsidRPr="00546C6B">
        <w:rPr>
          <w:rFonts w:ascii="GHEA Grapalat" w:hAnsi="GHEA Grapalat" w:cs="Sylfaen"/>
          <w:sz w:val="20"/>
          <w:lang w:val="es-ES"/>
        </w:rPr>
        <w:t>իրային միջոցների և տնտեսական ապրանքների</w:t>
      </w:r>
      <w:r w:rsidR="00EF7944" w:rsidRPr="00546C6B">
        <w:rPr>
          <w:rFonts w:ascii="GHEA Grapalat" w:hAnsi="GHEA Grapalat"/>
          <w:sz w:val="20"/>
          <w:lang w:val="hy-AM"/>
        </w:rPr>
        <w:t xml:space="preserve"> </w:t>
      </w:r>
      <w:r w:rsidRPr="00546C6B">
        <w:rPr>
          <w:rFonts w:ascii="GHEA Grapalat" w:hAnsi="GHEA Grapalat"/>
          <w:sz w:val="20"/>
          <w:lang w:val="af-ZA"/>
        </w:rPr>
        <w:t>ձեռքբերման</w:t>
      </w:r>
      <w:r w:rsidR="00D238E2" w:rsidRPr="00546C6B">
        <w:rPr>
          <w:rFonts w:ascii="GHEA Grapalat" w:hAnsi="GHEA Grapalat"/>
          <w:sz w:val="20"/>
          <w:lang w:val="af-ZA"/>
        </w:rPr>
        <w:t xml:space="preserve"> </w:t>
      </w:r>
      <w:r w:rsidRPr="00546C6B">
        <w:rPr>
          <w:rFonts w:ascii="GHEA Grapalat" w:hAnsi="GHEA Grapalat"/>
          <w:sz w:val="20"/>
          <w:lang w:val="af-ZA"/>
        </w:rPr>
        <w:t>նպատակով</w:t>
      </w:r>
      <w:r w:rsidR="00D238E2" w:rsidRPr="00546C6B">
        <w:rPr>
          <w:rFonts w:ascii="GHEA Grapalat" w:hAnsi="GHEA Grapalat"/>
          <w:sz w:val="20"/>
          <w:lang w:val="af-ZA"/>
        </w:rPr>
        <w:t xml:space="preserve"> </w:t>
      </w:r>
      <w:r w:rsidRPr="00546C6B">
        <w:rPr>
          <w:rFonts w:ascii="GHEA Grapalat" w:hAnsi="GHEA Grapalat"/>
          <w:sz w:val="20"/>
          <w:lang w:val="af-ZA"/>
        </w:rPr>
        <w:t>կազմակերպված</w:t>
      </w:r>
      <w:r w:rsidR="009E1771" w:rsidRPr="00546C6B">
        <w:rPr>
          <w:rFonts w:ascii="GHEA Grapalat" w:hAnsi="GHEA Grapalat"/>
          <w:sz w:val="20"/>
          <w:lang w:val="af-ZA"/>
        </w:rPr>
        <w:t xml:space="preserve"> «ՀՀ ՊՆ ՆՏԱԴ-</w:t>
      </w:r>
      <w:r w:rsidR="007E2B14" w:rsidRPr="00546C6B">
        <w:rPr>
          <w:rFonts w:ascii="GHEA Grapalat" w:hAnsi="GHEA Grapalat"/>
          <w:sz w:val="20"/>
          <w:lang w:val="af-ZA"/>
        </w:rPr>
        <w:t>ԷԱՃ</w:t>
      </w:r>
      <w:r w:rsidR="00F151D6" w:rsidRPr="00546C6B">
        <w:rPr>
          <w:rFonts w:ascii="GHEA Grapalat" w:hAnsi="GHEA Grapalat"/>
          <w:sz w:val="20"/>
          <w:lang w:val="af-ZA"/>
        </w:rPr>
        <w:t>ԱՊ</w:t>
      </w:r>
      <w:r w:rsidR="009E1771" w:rsidRPr="00546C6B">
        <w:rPr>
          <w:rFonts w:ascii="GHEA Grapalat" w:hAnsi="GHEA Grapalat"/>
          <w:sz w:val="20"/>
          <w:lang w:val="af-ZA"/>
        </w:rPr>
        <w:t>ՁԲ-</w:t>
      </w:r>
      <w:r w:rsidR="00F151D6" w:rsidRPr="00546C6B">
        <w:rPr>
          <w:rFonts w:ascii="GHEA Grapalat" w:hAnsi="GHEA Grapalat"/>
          <w:sz w:val="20"/>
          <w:lang w:val="af-ZA"/>
        </w:rPr>
        <w:t>7</w:t>
      </w:r>
      <w:r w:rsidR="009E1771" w:rsidRPr="00546C6B">
        <w:rPr>
          <w:rFonts w:ascii="GHEA Grapalat" w:hAnsi="GHEA Grapalat"/>
          <w:sz w:val="20"/>
          <w:lang w:val="af-ZA"/>
        </w:rPr>
        <w:t>/</w:t>
      </w:r>
      <w:r w:rsidR="00535329" w:rsidRPr="00546C6B">
        <w:rPr>
          <w:rFonts w:ascii="GHEA Grapalat" w:hAnsi="GHEA Grapalat"/>
          <w:sz w:val="20"/>
          <w:lang w:val="hy-AM"/>
        </w:rPr>
        <w:t>24</w:t>
      </w:r>
      <w:r w:rsidR="009E1771" w:rsidRPr="00546C6B">
        <w:rPr>
          <w:rFonts w:ascii="GHEA Grapalat" w:hAnsi="GHEA Grapalat"/>
          <w:sz w:val="20"/>
          <w:lang w:val="af-ZA"/>
        </w:rPr>
        <w:t>»</w:t>
      </w:r>
      <w:r w:rsidR="008E68E5" w:rsidRPr="00546C6B">
        <w:rPr>
          <w:rFonts w:ascii="GHEA Grapalat" w:hAnsi="GHEA Grapalat"/>
          <w:sz w:val="20"/>
          <w:lang w:val="af-ZA"/>
        </w:rPr>
        <w:t xml:space="preserve"> </w:t>
      </w:r>
      <w:r w:rsidRPr="00546C6B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546C6B">
        <w:rPr>
          <w:rFonts w:ascii="GHEA Grapalat" w:hAnsi="GHEA Grapalat"/>
          <w:sz w:val="20"/>
          <w:lang w:val="af-ZA"/>
        </w:rPr>
        <w:t xml:space="preserve"> </w:t>
      </w:r>
      <w:r w:rsidRPr="00546C6B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546C6B">
        <w:rPr>
          <w:rFonts w:ascii="GHEA Grapalat" w:hAnsi="GHEA Grapalat"/>
          <w:sz w:val="20"/>
          <w:lang w:val="af-ZA"/>
        </w:rPr>
        <w:t>201</w:t>
      </w:r>
      <w:r w:rsidR="00EF6978" w:rsidRPr="00546C6B">
        <w:rPr>
          <w:rFonts w:ascii="GHEA Grapalat" w:hAnsi="GHEA Grapalat"/>
          <w:sz w:val="20"/>
          <w:lang w:val="af-ZA"/>
        </w:rPr>
        <w:t>9</w:t>
      </w:r>
      <w:r w:rsidRPr="00546C6B">
        <w:rPr>
          <w:rFonts w:ascii="GHEA Grapalat" w:hAnsi="GHEA Grapalat"/>
          <w:sz w:val="20"/>
          <w:lang w:val="af-ZA"/>
        </w:rPr>
        <w:t xml:space="preserve"> թվականի </w:t>
      </w:r>
      <w:r w:rsidR="00EF6978" w:rsidRPr="00546C6B">
        <w:rPr>
          <w:rFonts w:ascii="GHEA Grapalat" w:hAnsi="GHEA Grapalat"/>
          <w:sz w:val="20"/>
          <w:lang w:val="af-ZA"/>
        </w:rPr>
        <w:t>հունվարի</w:t>
      </w:r>
      <w:r w:rsidR="003217D7" w:rsidRPr="00546C6B">
        <w:rPr>
          <w:rFonts w:ascii="GHEA Grapalat" w:hAnsi="GHEA Grapalat"/>
          <w:sz w:val="20"/>
          <w:lang w:val="af-ZA"/>
        </w:rPr>
        <w:t xml:space="preserve"> </w:t>
      </w:r>
      <w:r w:rsidR="002A498E" w:rsidRPr="00546C6B">
        <w:rPr>
          <w:rFonts w:ascii="GHEA Grapalat" w:hAnsi="GHEA Grapalat"/>
          <w:sz w:val="20"/>
          <w:lang w:val="af-ZA"/>
        </w:rPr>
        <w:t>18</w:t>
      </w:r>
      <w:r w:rsidRPr="00546C6B">
        <w:rPr>
          <w:rFonts w:ascii="GHEA Grapalat" w:hAnsi="GHEA Grapalat"/>
          <w:sz w:val="20"/>
          <w:lang w:val="af-ZA"/>
        </w:rPr>
        <w:t>-ի</w:t>
      </w:r>
      <w:r w:rsidRPr="00546C6B">
        <w:rPr>
          <w:rFonts w:ascii="GHEA Grapalat" w:hAnsi="GHEA Grapalat"/>
          <w:sz w:val="20"/>
          <w:lang w:val="hy-AM"/>
        </w:rPr>
        <w:t>ն</w:t>
      </w:r>
      <w:r w:rsidRPr="00546C6B">
        <w:rPr>
          <w:rFonts w:ascii="GHEA Grapalat" w:hAnsi="GHEA Grapalat" w:cs="Sylfaen"/>
          <w:sz w:val="20"/>
          <w:lang w:val="af-ZA"/>
        </w:rPr>
        <w:t xml:space="preserve"> կնքված </w:t>
      </w:r>
      <w:r w:rsidRPr="00546C6B">
        <w:rPr>
          <w:rFonts w:ascii="GHEA Grapalat" w:hAnsi="GHEA Grapalat"/>
          <w:sz w:val="20"/>
          <w:lang w:val="af-ZA"/>
        </w:rPr>
        <w:t xml:space="preserve">N </w:t>
      </w:r>
      <w:r w:rsidR="00F151D6" w:rsidRPr="00546C6B">
        <w:rPr>
          <w:rFonts w:ascii="GHEA Grapalat" w:hAnsi="GHEA Grapalat"/>
          <w:sz w:val="20"/>
          <w:lang w:val="af-ZA"/>
        </w:rPr>
        <w:t>ՀՀ ՊՆ ՆՏԱԴ-ԷԱՃԱՊՁԲ-7/</w:t>
      </w:r>
      <w:r w:rsidR="00535329" w:rsidRPr="00546C6B">
        <w:rPr>
          <w:rFonts w:ascii="GHEA Grapalat" w:hAnsi="GHEA Grapalat"/>
          <w:sz w:val="20"/>
          <w:lang w:val="hy-AM"/>
        </w:rPr>
        <w:t>24</w:t>
      </w:r>
      <w:r w:rsidRPr="00546C6B">
        <w:rPr>
          <w:rFonts w:ascii="GHEA Grapalat" w:hAnsi="GHEA Grapalat"/>
          <w:sz w:val="20"/>
          <w:lang w:val="af-ZA"/>
        </w:rPr>
        <w:t>-1</w:t>
      </w:r>
      <w:r w:rsidR="00535329" w:rsidRPr="00546C6B">
        <w:rPr>
          <w:rFonts w:ascii="GHEA Grapalat" w:hAnsi="GHEA Grapalat"/>
          <w:sz w:val="20"/>
          <w:lang w:val="hy-AM"/>
        </w:rPr>
        <w:t xml:space="preserve">,        </w:t>
      </w:r>
      <w:r w:rsidR="00535329" w:rsidRPr="00546C6B">
        <w:rPr>
          <w:rFonts w:ascii="GHEA Grapalat" w:hAnsi="GHEA Grapalat"/>
          <w:sz w:val="20"/>
          <w:lang w:val="af-ZA"/>
        </w:rPr>
        <w:t>N ՀՀ ՊՆ ՆՏԱԴ-ԷԱՃԱՊՁԲ-7/</w:t>
      </w:r>
      <w:r w:rsidR="00535329" w:rsidRPr="00546C6B">
        <w:rPr>
          <w:rFonts w:ascii="GHEA Grapalat" w:hAnsi="GHEA Grapalat"/>
          <w:sz w:val="20"/>
          <w:lang w:val="hy-AM"/>
        </w:rPr>
        <w:t>24</w:t>
      </w:r>
      <w:r w:rsidR="00535329" w:rsidRPr="00546C6B">
        <w:rPr>
          <w:rFonts w:ascii="GHEA Grapalat" w:hAnsi="GHEA Grapalat"/>
          <w:sz w:val="20"/>
          <w:lang w:val="af-ZA"/>
        </w:rPr>
        <w:t>-</w:t>
      </w:r>
      <w:r w:rsidR="00535329" w:rsidRPr="00546C6B">
        <w:rPr>
          <w:rFonts w:ascii="GHEA Grapalat" w:hAnsi="GHEA Grapalat"/>
          <w:sz w:val="20"/>
          <w:lang w:val="hy-AM"/>
        </w:rPr>
        <w:t xml:space="preserve">2, </w:t>
      </w:r>
      <w:r w:rsidR="00535329" w:rsidRPr="00546C6B">
        <w:rPr>
          <w:rFonts w:ascii="GHEA Grapalat" w:hAnsi="GHEA Grapalat"/>
          <w:sz w:val="20"/>
          <w:lang w:val="af-ZA"/>
        </w:rPr>
        <w:t>N ՀՀ ՊՆ ՆՏԱԴ-ԷԱՃԱՊՁԲ-7/</w:t>
      </w:r>
      <w:r w:rsidR="00535329" w:rsidRPr="00546C6B">
        <w:rPr>
          <w:rFonts w:ascii="GHEA Grapalat" w:hAnsi="GHEA Grapalat"/>
          <w:sz w:val="20"/>
          <w:lang w:val="hy-AM"/>
        </w:rPr>
        <w:t>24</w:t>
      </w:r>
      <w:r w:rsidR="00535329" w:rsidRPr="00546C6B">
        <w:rPr>
          <w:rFonts w:ascii="GHEA Grapalat" w:hAnsi="GHEA Grapalat"/>
          <w:sz w:val="20"/>
          <w:lang w:val="af-ZA"/>
        </w:rPr>
        <w:t>-</w:t>
      </w:r>
      <w:r w:rsidR="00535329" w:rsidRPr="00546C6B">
        <w:rPr>
          <w:rFonts w:ascii="GHEA Grapalat" w:hAnsi="GHEA Grapalat"/>
          <w:sz w:val="20"/>
          <w:lang w:val="hy-AM"/>
        </w:rPr>
        <w:t xml:space="preserve">3 և </w:t>
      </w:r>
      <w:r w:rsidR="00535329" w:rsidRPr="00546C6B">
        <w:rPr>
          <w:rFonts w:ascii="GHEA Grapalat" w:hAnsi="GHEA Grapalat"/>
          <w:sz w:val="20"/>
          <w:lang w:val="af-ZA"/>
        </w:rPr>
        <w:t>N ՀՀ ՊՆ ՆՏԱԴ-ԷԱՃԱՊՁԲ-7/</w:t>
      </w:r>
      <w:r w:rsidR="00535329" w:rsidRPr="00546C6B">
        <w:rPr>
          <w:rFonts w:ascii="GHEA Grapalat" w:hAnsi="GHEA Grapalat"/>
          <w:sz w:val="20"/>
          <w:lang w:val="hy-AM"/>
        </w:rPr>
        <w:t>24</w:t>
      </w:r>
      <w:r w:rsidR="00535329" w:rsidRPr="00546C6B">
        <w:rPr>
          <w:rFonts w:ascii="GHEA Grapalat" w:hAnsi="GHEA Grapalat"/>
          <w:sz w:val="20"/>
          <w:lang w:val="af-ZA"/>
        </w:rPr>
        <w:t>-</w:t>
      </w:r>
      <w:r w:rsidR="00535329" w:rsidRPr="00546C6B">
        <w:rPr>
          <w:rFonts w:ascii="GHEA Grapalat" w:hAnsi="GHEA Grapalat"/>
          <w:sz w:val="20"/>
          <w:lang w:val="hy-AM"/>
        </w:rPr>
        <w:t>4</w:t>
      </w:r>
      <w:r w:rsidR="00F151D6" w:rsidRPr="00546C6B">
        <w:rPr>
          <w:rFonts w:ascii="GHEA Grapalat" w:hAnsi="GHEA Grapalat"/>
          <w:sz w:val="20"/>
          <w:lang w:val="af-ZA"/>
        </w:rPr>
        <w:t xml:space="preserve"> </w:t>
      </w:r>
      <w:r w:rsidRPr="00546C6B">
        <w:rPr>
          <w:rFonts w:ascii="GHEA Grapalat" w:hAnsi="GHEA Grapalat" w:cs="Sylfaen"/>
          <w:sz w:val="20"/>
          <w:lang w:val="af-ZA"/>
        </w:rPr>
        <w:t>պայմանագր</w:t>
      </w:r>
      <w:r w:rsidR="00535329" w:rsidRPr="00546C6B">
        <w:rPr>
          <w:rFonts w:ascii="GHEA Grapalat" w:hAnsi="GHEA Grapalat" w:cs="Sylfaen"/>
          <w:sz w:val="20"/>
          <w:lang w:val="hy-AM"/>
        </w:rPr>
        <w:t>եր</w:t>
      </w:r>
      <w:r w:rsidRPr="00546C6B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624D9" w:rsidRPr="00546C6B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4"/>
        <w:gridCol w:w="22"/>
        <w:gridCol w:w="407"/>
        <w:gridCol w:w="137"/>
        <w:gridCol w:w="164"/>
        <w:gridCol w:w="242"/>
        <w:gridCol w:w="445"/>
        <w:gridCol w:w="138"/>
        <w:gridCol w:w="254"/>
        <w:gridCol w:w="171"/>
        <w:gridCol w:w="125"/>
        <w:gridCol w:w="43"/>
        <w:gridCol w:w="109"/>
        <w:gridCol w:w="148"/>
        <w:gridCol w:w="709"/>
        <w:gridCol w:w="267"/>
        <w:gridCol w:w="10"/>
        <w:gridCol w:w="26"/>
        <w:gridCol w:w="148"/>
        <w:gridCol w:w="256"/>
        <w:gridCol w:w="588"/>
        <w:gridCol w:w="114"/>
        <w:gridCol w:w="137"/>
        <w:gridCol w:w="39"/>
        <w:gridCol w:w="709"/>
        <w:gridCol w:w="268"/>
        <w:gridCol w:w="8"/>
        <w:gridCol w:w="114"/>
        <w:gridCol w:w="51"/>
        <w:gridCol w:w="268"/>
        <w:gridCol w:w="142"/>
        <w:gridCol w:w="308"/>
        <w:gridCol w:w="109"/>
        <w:gridCol w:w="413"/>
        <w:gridCol w:w="162"/>
        <w:gridCol w:w="402"/>
        <w:gridCol w:w="149"/>
        <w:gridCol w:w="116"/>
        <w:gridCol w:w="750"/>
        <w:gridCol w:w="142"/>
        <w:gridCol w:w="142"/>
        <w:gridCol w:w="409"/>
        <w:gridCol w:w="153"/>
        <w:gridCol w:w="582"/>
      </w:tblGrid>
      <w:tr w:rsidR="00546C6B" w:rsidRPr="00546C6B" w:rsidTr="007E2B14">
        <w:trPr>
          <w:trHeight w:val="146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B14" w:rsidRPr="00546C6B" w:rsidRDefault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546C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546C6B" w:rsidRPr="00546C6B" w:rsidTr="003D4F04">
        <w:trPr>
          <w:trHeight w:val="110"/>
          <w:jc w:val="center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2B14" w:rsidRPr="00546C6B" w:rsidRDefault="009E1771" w:rsidP="007E2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7E2B14"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/հ</w:t>
            </w:r>
          </w:p>
          <w:p w:rsidR="005624D9" w:rsidRPr="00546C6B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46C6B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46C6B" w:rsidRDefault="005624D9" w:rsidP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7E2B14" w:rsidRPr="00546C6B">
              <w:rPr>
                <w:rFonts w:ascii="GHEA Grapalat" w:hAnsi="GHEA Grapalat" w:cs="Sylfaen"/>
                <w:b/>
                <w:sz w:val="12"/>
                <w:szCs w:val="12"/>
              </w:rPr>
              <w:t>/մ</w:t>
            </w:r>
          </w:p>
        </w:tc>
        <w:tc>
          <w:tcPr>
            <w:tcW w:w="20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46C6B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24D9" w:rsidRPr="00546C6B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22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546C6B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546C6B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546C6B" w:rsidRPr="00546C6B" w:rsidTr="003D4F04">
        <w:trPr>
          <w:trHeight w:val="1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546C6B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46C6B" w:rsidRPr="00546C6B" w:rsidTr="003D4F04">
        <w:trPr>
          <w:trHeight w:val="2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46C6B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546C6B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546C6B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կայծակ-ճարմանդ /Ճարմանդ ԶՈՒ զինանշանով/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2273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2891256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29" w:rsidRPr="00546C6B" w:rsidRDefault="00535329" w:rsidP="00535329">
            <w:pPr>
              <w:jc w:val="both"/>
              <w:rPr>
                <w:rFonts w:ascii="GHEA Grapalat" w:hAnsi="GHEA Grapalat"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Արտադրվում է լատունե համաձուլվածքից: Ճարմանդը կորաձև` 100 թեքությամբ, երկարությունը 7,5սմ, լայնությունը 5,3սմ,  իսկ պատերի հաստությունը 1մմ: Ճարմանդի կենտրոնում դաջված է ԶՈՒ զինանշանը: Ճարմանդի հակառակ կողմից աջ եզրին ամրացվում է նույն համաձուլվածքից 1մմ հաստությամբ և 1,5x2,6սմ չափսերի կեռիկ, իսկ ձախ եզրին` 1,8մմ հաստու-թյամբ անշարժ կարգավորիչ օղակ: Արտաքին տեսքը համաձայն էսքիզի: Բոլոր պարամետրերի թույլատրելի շեղումը`2%: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  <w:lang w:val="hy-AM"/>
              </w:rPr>
              <w:t xml:space="preserve"> 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Մատակարար կազմակերպությունը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  <w:lang w:val="hy-AM"/>
              </w:rPr>
              <w:t xml:space="preserve"> 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մատակարարումից առաջ պետք է պատասխանատու ստորաբաժանմանը ներկայացնի նմուշ`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  <w:lang w:val="hy-AM"/>
              </w:rPr>
              <w:t xml:space="preserve"> 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արտաքին տեսքը  հաստատված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  <w:lang w:val="hy-AM"/>
              </w:rPr>
              <w:t xml:space="preserve"> 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նմուշին համաձայնեցնելու համար:   Փաթեթավորումը արկղերով` մեկ արկղի մեջ մինչև 100 հատ, տեսականին պետք է հատ-հատ փաթաթված լինեն մոմլաթե թղթով: Արկղերը պիտակավորված, պիտակների վրա պետք է նշված լինի տեսականու անվանումը, քանակը, մատակարար և արտադրող կազմակերպության  անվանումները, արտադրման ամիսն ու տարեթիվը: Անհրաժեշտության դեպքում, պատասխանատու ստորաբաժանման պահանջով, մատակարար կազմակերպությունը պետք է ներկայացնի գործվածքի բաղադրության, ներկի կայունության և մակերեսային խտության  վերաբերյալ,  ՀՀ-ում արտոնագրված կազմակերպության կողմից տրված  լաբորատոր հետազոտության  եզրակացություն:( Կցված ֆայլ՝ lot_1_i_texnikakan_bnutagir.docx 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29" w:rsidRPr="00546C6B" w:rsidRDefault="00535329" w:rsidP="00643A40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46C6B">
              <w:rPr>
                <w:rFonts w:ascii="GHEA Grapalat" w:hAnsi="GHEA Grapalat"/>
                <w:sz w:val="11"/>
                <w:szCs w:val="11"/>
              </w:rPr>
              <w:t>Տես N ՀՀ ՊՆ ՆՏԱԴ-ԷԱՃԱՊՁԲ-7/</w:t>
            </w:r>
            <w:r w:rsidR="00643A40" w:rsidRPr="00546C6B">
              <w:rPr>
                <w:rFonts w:ascii="GHEA Grapalat" w:hAnsi="GHEA Grapalat"/>
                <w:sz w:val="11"/>
                <w:szCs w:val="11"/>
                <w:lang w:val="hy-AM"/>
              </w:rPr>
              <w:t>24</w:t>
            </w:r>
            <w:r w:rsidRPr="00546C6B">
              <w:rPr>
                <w:rFonts w:ascii="GHEA Grapalat" w:hAnsi="GHEA Grapalat"/>
                <w:sz w:val="11"/>
                <w:szCs w:val="11"/>
              </w:rPr>
              <w:t>-1 պայմանագիր:</w:t>
            </w: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ջրի շշերի կրիչներ /Տափաշշի շապիկ/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5329" w:rsidRPr="00546C6B" w:rsidRDefault="00535329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3600000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5329" w:rsidRPr="00546C6B" w:rsidRDefault="00535329" w:rsidP="00535329">
            <w:pPr>
              <w:jc w:val="both"/>
              <w:rPr>
                <w:rFonts w:ascii="GHEA Grapalat" w:hAnsi="GHEA Grapalat"/>
                <w:bCs/>
                <w:iCs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 xml:space="preserve">Պատրաստվում է  ԶՈՒ գործող համազգեստի երանգով գործվածքից: Արտաքին չափսերը՝ լայնությունը 17սմ եզրերի երկարությունը կողամասերում 12 սմ՝ մեջտեղում 18 սմ:Բերանը փակվում է  վերին եզրի ծալվածքի մեջով անցկացված 1սմ լայնությամբ պաշտպանական գույնի  տիսմայե ժապավենով:  Վերին եզրը մշակված է 1սմ լայնության զարդակարով: Հետնամասում  վերին եզրից 8 սմ ներքև զարդակարված է 5 սմ x 4 սմ  չափսերի քառակուսի վանդակ, որի վրա,  եզրերը դեպի ներքև խաչաձև ամրակարվում է 1,5 սմ լայնության գունաքողարկված օղակաձև ամրագոտի՝ տափաշշի վզիկին հագցնելու համար: Ամրագոտու վերին եզրի մեջտեղից մշակված է 1,5 սմ լայնության և  8 սմ  երկարության մեկ օղակ կոճակով կոճկվող գունաքողարկված ժապավեն: Առաջամասում վերին եզրի զարդակարի եզրով մեջտեղում զարդակարված է 4սմ x5սմ չափսերի քառակուսի վանդակ, որի մեջտեղում ամրացված է 17մմ սև գույնի կոճակ:  Մատակարար կազմակերպությունը մատակարարումից առաջ պետք է պատասխանատու ստորաբաժանմանը ներկայացնի նմուշ` արտաքին տեսքը  հաստատված նմուշին համաձայնեցնելու համար:  Փաթեթավորումը` հակերով, մեկ հակի մեջ` մինչև 400 հատ: Հակերը` պիտակավորված: Պիտակի վրա պետք 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lastRenderedPageBreak/>
              <w:t>է նշված լինի տեսականու անվանումը, քանակը,  մատակարար և արտադրող  կազմակերպությունների  անվանումները, արտադրման ամիսն ու տարեթիվը:Թույլատրելի շեղումները 2%: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35329" w:rsidRPr="00546C6B" w:rsidRDefault="00535329" w:rsidP="00A121C5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46C6B">
              <w:rPr>
                <w:rFonts w:ascii="GHEA Grapalat" w:hAnsi="GHEA Grapalat"/>
                <w:sz w:val="11"/>
                <w:szCs w:val="11"/>
              </w:rPr>
              <w:lastRenderedPageBreak/>
              <w:t xml:space="preserve">Տես </w:t>
            </w:r>
            <w:r w:rsidR="00643A40" w:rsidRPr="00546C6B">
              <w:rPr>
                <w:rFonts w:ascii="GHEA Grapalat" w:hAnsi="GHEA Grapalat"/>
                <w:sz w:val="11"/>
                <w:szCs w:val="11"/>
              </w:rPr>
              <w:t>N ՀՀ ՊՆ ՆՏԱԴ-ԷԱՃԱՊՁԲ-7/</w:t>
            </w:r>
            <w:r w:rsidR="00A121C5" w:rsidRPr="00546C6B">
              <w:rPr>
                <w:rFonts w:ascii="GHEA Grapalat" w:hAnsi="GHEA Grapalat"/>
                <w:sz w:val="11"/>
                <w:szCs w:val="11"/>
                <w:lang w:val="hy-AM"/>
              </w:rPr>
              <w:t>24</w:t>
            </w:r>
            <w:r w:rsidR="00643A40" w:rsidRPr="00546C6B">
              <w:rPr>
                <w:rFonts w:ascii="GHEA Grapalat" w:hAnsi="GHEA Grapalat"/>
                <w:sz w:val="11"/>
                <w:szCs w:val="11"/>
              </w:rPr>
              <w:t>-</w:t>
            </w:r>
            <w:r w:rsidR="00643A40" w:rsidRPr="00546C6B">
              <w:rPr>
                <w:rFonts w:ascii="GHEA Grapalat" w:hAnsi="GHEA Grapalat"/>
                <w:sz w:val="11"/>
                <w:szCs w:val="11"/>
                <w:lang w:val="hy-AM"/>
              </w:rPr>
              <w:t>2</w:t>
            </w:r>
            <w:r w:rsidRPr="00546C6B">
              <w:rPr>
                <w:rFonts w:ascii="GHEA Grapalat" w:hAnsi="GHEA Grapalat"/>
                <w:sz w:val="11"/>
                <w:szCs w:val="11"/>
              </w:rPr>
              <w:t xml:space="preserve"> պայմանագիր:</w:t>
            </w: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3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ձեռքի պայուսակներ /Պայուսակ դաշտային սերժանտական/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2100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4788000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 w:rsidP="003D4F04">
            <w:pPr>
              <w:jc w:val="both"/>
              <w:rPr>
                <w:rFonts w:ascii="GHEA Grapalat" w:hAnsi="GHEA Grapalat"/>
                <w:bCs/>
                <w:iCs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Պատրաստվում է արհեստական շագանակագույն կաշվից, փական-կափարիչով: Փականը ունի է կոճկող գոտի մետաղական ծայրով, կանթիկին կոճկելու համար, փականն ունի երկու զույգ մետաղական թիթեղներից բացվածք:  Պայուսակը ներսից ունի մեկ գրպան: Ուսագոտին կոճկելու համար,  հետին պատի վրա ամրացված են կաշվե երկու կրիչներ կիսաօղերով և շնիկով: Ուսագոտին բաղկացած է երկու կտորից` երկար կտորի վերջավորությունը անցքերով, իսկ կարճ կտորինը` հնգապատ սեպիկավոր ճարմանդով: Գոտին պայուսակին ամրացվում է երկու կիսաօղակներով: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  Փաթեթավորումը ստվարաթղթե տուփերով, մեկ տուփի մեջ մինչև 5 հատ, տուփերը պիտակավորված, պիտակի վրա նշելով արտադրանքի անվանումը, արտադրող կազմակերպության անունը, մատակարար կազմակերպության անունը, արտադրման տարեթիվը: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43A40" w:rsidRPr="00546C6B" w:rsidRDefault="00643A40" w:rsidP="00A121C5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46C6B">
              <w:rPr>
                <w:rFonts w:ascii="GHEA Grapalat" w:hAnsi="GHEA Grapalat"/>
                <w:sz w:val="11"/>
                <w:szCs w:val="11"/>
              </w:rPr>
              <w:t>Տես N ՀՀ ՊՆ ՆՏԱԴ-ԷԱՃԱՊՁԲ-7/</w:t>
            </w:r>
            <w:r w:rsidR="00A121C5" w:rsidRPr="00546C6B">
              <w:rPr>
                <w:rFonts w:ascii="GHEA Grapalat" w:hAnsi="GHEA Grapalat"/>
                <w:sz w:val="11"/>
                <w:szCs w:val="11"/>
                <w:lang w:val="hy-AM"/>
              </w:rPr>
              <w:t>24</w:t>
            </w:r>
            <w:r w:rsidRPr="00546C6B">
              <w:rPr>
                <w:rFonts w:ascii="GHEA Grapalat" w:hAnsi="GHEA Grapalat"/>
                <w:sz w:val="11"/>
                <w:szCs w:val="11"/>
              </w:rPr>
              <w:t>-</w:t>
            </w:r>
            <w:r w:rsidRPr="00546C6B">
              <w:rPr>
                <w:rFonts w:ascii="GHEA Grapalat" w:hAnsi="GHEA Grapalat"/>
                <w:sz w:val="11"/>
                <w:szCs w:val="11"/>
                <w:lang w:val="hy-AM"/>
              </w:rPr>
              <w:t>3</w:t>
            </w:r>
            <w:r w:rsidRPr="00546C6B">
              <w:rPr>
                <w:rFonts w:ascii="GHEA Grapalat" w:hAnsi="GHEA Grapalat"/>
                <w:sz w:val="11"/>
                <w:szCs w:val="11"/>
              </w:rPr>
              <w:t xml:space="preserve"> պայմանագիր:</w:t>
            </w: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>4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սեղմակ, փոքր /Սեղմակ պլաստմասե/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13000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260000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 w:rsidP="003D4F04">
            <w:pPr>
              <w:jc w:val="both"/>
              <w:rPr>
                <w:rFonts w:ascii="GHEA Grapalat" w:hAnsi="GHEA Grapalat"/>
                <w:bCs/>
                <w:iCs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Իրենից ներկայացնում է 20 սմ երկարության, 0,4 սմ լայնության և 1մմ հաստության սպիտակ կամ սև գույնի պլաստմասե  ժապավեն, որի մի ծայրին  մշակված  է  սեպիկով ամրակ, ժապավենը մեջով անցկացնելու և ձգելու համար: Ժապավենի մի երեսին,  ամրակից  5մմ ներքև    16 սմ երկարության վրա ժապավենի երկայնքով լայնակի մշակված են իրարից 1մմ հեռավորությամբ ատամնաշարեր: Բոլոր պարամետրերի թույլատրելի շեղումը 2%: Արտաքին տեսքը համաձայն էսքիզի կամ համարժեք: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  Փաթեթավորումը պոլիէթիլենային պարկերով, մեկ պարկի մեջ  500 հատից ոչ պակաս: Պարկերը պիտակավորված` պիտակների վրա պետք է նշված լինի մատակարար և արտադրող կազմակերպության  անվանումները, քանակը, արտադրման ամիսն ու տարեթիվը:( Կցված ֆայլ՝ lot_4_i_texnikakan_bnutagir.docx 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>5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sz w:val="12"/>
                <w:szCs w:val="12"/>
                <w:lang w:val="hy-AM"/>
              </w:rPr>
              <w:t>արդուկ, ջերմակարգավորիչ, գոլորշիով /Արդուկ` էլեկտրական, կենցաղային/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3500000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 w:rsidP="003D4F04">
            <w:pPr>
              <w:jc w:val="both"/>
              <w:rPr>
                <w:rFonts w:ascii="GHEA Grapalat" w:hAnsi="GHEA Grapalat"/>
                <w:bCs/>
                <w:iCs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ԳՕՍՏ -307.1-95:  Աշխատում է 220-240ՎՎ լարումով, 50-60Հց հաճախականությամբ էլ. հոսանքով` ջերմակարգավորիչով: Էլեկտրական հոսանքալարի երկարությունը 1,5 մետրից ոչ պակաս:Քաշը 1կգ-ից ոչ պակաս: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  Փաթեթավորումը ստվարաթղթե արկղերով` մեկ արկղի մեջ 10հատ: Տեսականին  տուփերով, մեկ տուփի մեջ` 1հատ: Արկղերը և տուփերը պիտակավորված: Պիտակների վրա պետք է նշված լինի տեսականու անվանումը, քանակը,  մատակարար և արտադրող կազմակերպության  անվանումները, մատակարարման ամիսն ու տարեթիվը: Բոլոր պարամետրերի թույլատրելի շեղումը  2%: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43A40" w:rsidRPr="00546C6B" w:rsidRDefault="00643A40" w:rsidP="00A121C5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46C6B">
              <w:rPr>
                <w:rFonts w:ascii="GHEA Grapalat" w:hAnsi="GHEA Grapalat"/>
                <w:sz w:val="11"/>
                <w:szCs w:val="11"/>
              </w:rPr>
              <w:t>Տես N ՀՀ ՊՆ ՆՏԱԴ-ԷԱՃԱՊՁԲ-7/</w:t>
            </w:r>
            <w:r w:rsidR="00A121C5" w:rsidRPr="00546C6B">
              <w:rPr>
                <w:rFonts w:ascii="GHEA Grapalat" w:hAnsi="GHEA Grapalat"/>
                <w:sz w:val="11"/>
                <w:szCs w:val="11"/>
                <w:lang w:val="hy-AM"/>
              </w:rPr>
              <w:t>24</w:t>
            </w:r>
            <w:r w:rsidRPr="00546C6B">
              <w:rPr>
                <w:rFonts w:ascii="GHEA Grapalat" w:hAnsi="GHEA Grapalat"/>
                <w:sz w:val="11"/>
                <w:szCs w:val="11"/>
              </w:rPr>
              <w:t>-</w:t>
            </w:r>
            <w:r w:rsidRPr="00546C6B">
              <w:rPr>
                <w:rFonts w:ascii="GHEA Grapalat" w:hAnsi="GHEA Grapalat"/>
                <w:sz w:val="11"/>
                <w:szCs w:val="11"/>
                <w:lang w:val="hy-AM"/>
              </w:rPr>
              <w:t>4</w:t>
            </w:r>
            <w:r w:rsidRPr="00546C6B">
              <w:rPr>
                <w:rFonts w:ascii="GHEA Grapalat" w:hAnsi="GHEA Grapalat"/>
                <w:sz w:val="11"/>
                <w:szCs w:val="11"/>
              </w:rPr>
              <w:t xml:space="preserve"> պայմանագիր:</w:t>
            </w: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>6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մկրատ, դերձակի /Մկրատ` դերձակի/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160000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 w:rsidP="003D4F04">
            <w:pPr>
              <w:jc w:val="both"/>
              <w:rPr>
                <w:rFonts w:ascii="GHEA Grapalat" w:hAnsi="GHEA Grapalat"/>
                <w:bCs/>
                <w:iCs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 xml:space="preserve">Արտադրվում է պողպատից: Բաղկացած է երկու թևերից և բռնակներից: Բռնակներից մեկը օվալաձև է, մյուսը` շրջանաձև: Թևերը միացվում են կենտրոնական միացումով, շեղբերից մեկը սրածայր է մյուսը բութ ծայրով` շեղբերը սրված:Շեղբերի երկարությունը միացման տեղից 10,5-11 սմ: Գործարանային փաթեթավորմամբ` պիտակավորված: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   Փաթեթավորումը` գործարանային, պիտակավորված: Պիտակների վրա </w:t>
            </w: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lastRenderedPageBreak/>
              <w:t>պետք է նշված լինի տեսականու անվանումը, քանակը,  մատակարար կազմակերպության  անվանումը, մատակարարման ամիսն ու տարեթիվը: Բոլոր պարամետրերի թույլատրելի շեղումը  2%: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lastRenderedPageBreak/>
              <w:t>7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խոզանակ, հագուստի /Խոզանակ` համազգեստի/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 w:rsidP="003D4F04">
            <w:pPr>
              <w:jc w:val="both"/>
              <w:rPr>
                <w:rFonts w:ascii="GHEA Grapalat" w:hAnsi="GHEA Grapalat"/>
                <w:bCs/>
                <w:iCs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Խոզանակի իրանը փայտե /փայտե մասը  լաքապապատ/ կամ պլաստմասայե,  երկարությունը 17սմ, լայնությունը 5սմ, բարձրությունը 1,5սմ, մազափնջի բարձրությունը 2,5սմ: Մազափնջերը մակերեսային լայնության վրա, չորս  շարքից ոչ պակաս, յուրաքանչյուր շարքում 15 մազափունջ: Մազափնջերը կոշտ, օրգանական թելերից: Մազափնջերը հենքի միջնամասում, մետաղյա թելերով հանգուցագործված: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  Փաթեթավորումը ստվարաթղթե արկղերով` մեկ արկղի մեջ 100 հատից ոչ ավելին: Արկղերը պիտակավորված: Պիտակների վրա պետք է նշված լինի տեսականու անվանումը, քանակը,  մատակարար և արտադրող կազմակերպության  անվանումները, մատակարարման ամիսն ու տարեթիվը: Բոլոր պարամետրերի թույլատրելի շեղումը  2%: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43A40" w:rsidRPr="00546C6B" w:rsidRDefault="00643A40" w:rsidP="00A121C5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46C6B">
              <w:rPr>
                <w:rFonts w:ascii="GHEA Grapalat" w:hAnsi="GHEA Grapalat"/>
                <w:sz w:val="11"/>
                <w:szCs w:val="11"/>
              </w:rPr>
              <w:t>Տես N ՀՀ ՊՆ ՆՏԱԴ-ԷԱՃԱՊՁԲ-7/</w:t>
            </w:r>
            <w:r w:rsidR="00A121C5" w:rsidRPr="00546C6B">
              <w:rPr>
                <w:rFonts w:ascii="GHEA Grapalat" w:hAnsi="GHEA Grapalat"/>
                <w:sz w:val="11"/>
                <w:szCs w:val="11"/>
                <w:lang w:val="hy-AM"/>
              </w:rPr>
              <w:t>24</w:t>
            </w:r>
            <w:r w:rsidRPr="00546C6B">
              <w:rPr>
                <w:rFonts w:ascii="GHEA Grapalat" w:hAnsi="GHEA Grapalat"/>
                <w:sz w:val="11"/>
                <w:szCs w:val="11"/>
              </w:rPr>
              <w:t>-</w:t>
            </w:r>
            <w:r w:rsidRPr="00546C6B">
              <w:rPr>
                <w:rFonts w:ascii="GHEA Grapalat" w:hAnsi="GHEA Grapalat"/>
                <w:sz w:val="11"/>
                <w:szCs w:val="11"/>
                <w:lang w:val="hy-AM"/>
              </w:rPr>
              <w:t>4</w:t>
            </w:r>
            <w:r w:rsidRPr="00546C6B">
              <w:rPr>
                <w:rFonts w:ascii="GHEA Grapalat" w:hAnsi="GHEA Grapalat"/>
                <w:sz w:val="11"/>
                <w:szCs w:val="11"/>
              </w:rPr>
              <w:t xml:space="preserve"> պայմանագիր:</w:t>
            </w:r>
          </w:p>
        </w:tc>
      </w:tr>
      <w:tr w:rsidR="00546C6B" w:rsidRPr="00546C6B" w:rsidTr="00535329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>8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խոզանակ, կոշիկի /Խոզանակ` կոշիկի/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A40" w:rsidRPr="00546C6B" w:rsidRDefault="00643A40" w:rsidP="0053532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2276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 w:rsidP="00535329">
            <w:pPr>
              <w:jc w:val="both"/>
              <w:rPr>
                <w:rFonts w:ascii="GHEA Grapalat" w:hAnsi="GHEA Grapalat"/>
                <w:bCs/>
                <w:iCs/>
                <w:sz w:val="11"/>
                <w:szCs w:val="11"/>
              </w:rPr>
            </w:pPr>
            <w:r w:rsidRPr="00546C6B">
              <w:rPr>
                <w:rFonts w:ascii="GHEA Grapalat" w:hAnsi="GHEA Grapalat"/>
                <w:bCs/>
                <w:iCs/>
                <w:sz w:val="11"/>
                <w:szCs w:val="11"/>
              </w:rPr>
              <w:t>Խոզանակի իրանը փայտե /փայտե մասը  լաքապապատ/ կամ պլաստմասայե, երկարությունը 17սմ, լայնությունը 5սմ, բարձրությունը 1,5սմ, մազափնջի բարձրությունը 2սմ: Մազափնջերը մակերեսային լայնության վրա, վեց շարքից, առաջին և վեցերորդ շարքերում 12-13 հատ մազափունջ, երկրորդից հինգերորդ շարքերում` 13-14 հատ: Մազափնջերը օրգանական թելերից: Մազափնջերը հենքի միջնամասում, մետաղյա թելերով հանգուցագործված: 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  Փաթեթավորումը ստվարաթղթե արկղերով` մեկ արկղի մեջ 100 հատից ոչ  ավելին: Արկղերը պիտակավորված: Պիտակների վրա պետք է նշված լինի տեսականու անվանումը, քանակը,  մատակարար և արտադրող կազմակերպության  անվանումները, մատակարարման ամիսն ու տարեթիվը:  Բոլոր  պարամետրերի  թույլատրելի  շեղումը  2%: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43A40" w:rsidRPr="00546C6B" w:rsidRDefault="00643A40" w:rsidP="00A121C5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46C6B">
              <w:rPr>
                <w:rFonts w:ascii="GHEA Grapalat" w:hAnsi="GHEA Grapalat"/>
                <w:sz w:val="11"/>
                <w:szCs w:val="11"/>
              </w:rPr>
              <w:t>Տես N ՀՀ ՊՆ ՆՏԱԴ-ԷԱՃԱՊՁԲ-7/</w:t>
            </w:r>
            <w:r w:rsidR="00A121C5" w:rsidRPr="00546C6B">
              <w:rPr>
                <w:rFonts w:ascii="GHEA Grapalat" w:hAnsi="GHEA Grapalat"/>
                <w:sz w:val="11"/>
                <w:szCs w:val="11"/>
                <w:lang w:val="hy-AM"/>
              </w:rPr>
              <w:t>24</w:t>
            </w:r>
            <w:r w:rsidRPr="00546C6B">
              <w:rPr>
                <w:rFonts w:ascii="GHEA Grapalat" w:hAnsi="GHEA Grapalat"/>
                <w:sz w:val="11"/>
                <w:szCs w:val="11"/>
              </w:rPr>
              <w:t>-</w:t>
            </w:r>
            <w:r w:rsidRPr="00546C6B">
              <w:rPr>
                <w:rFonts w:ascii="GHEA Grapalat" w:hAnsi="GHEA Grapalat"/>
                <w:sz w:val="11"/>
                <w:szCs w:val="11"/>
                <w:lang w:val="hy-AM"/>
              </w:rPr>
              <w:t>4</w:t>
            </w:r>
            <w:r w:rsidRPr="00546C6B">
              <w:rPr>
                <w:rFonts w:ascii="GHEA Grapalat" w:hAnsi="GHEA Grapalat"/>
                <w:sz w:val="11"/>
                <w:szCs w:val="11"/>
              </w:rPr>
              <w:t xml:space="preserve"> պայմանագիր:</w:t>
            </w:r>
          </w:p>
        </w:tc>
      </w:tr>
      <w:tr w:rsidR="00546C6B" w:rsidRPr="00546C6B" w:rsidTr="00EF7944">
        <w:trPr>
          <w:trHeight w:val="8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46413D">
        <w:trPr>
          <w:trHeight w:val="137"/>
          <w:jc w:val="center"/>
        </w:trPr>
        <w:tc>
          <w:tcPr>
            <w:tcW w:w="42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7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F151FE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546C6B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546C6B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546C6B">
              <w:rPr>
                <w:rFonts w:ascii="GHEA Grapalat" w:hAnsi="GHEA Grapalat"/>
                <w:sz w:val="12"/>
                <w:szCs w:val="12"/>
              </w:rPr>
              <w:t xml:space="preserve"> ՀՀ օրենքի 18-րդ հոդվածի 3-րդ մաս:</w:t>
            </w:r>
          </w:p>
        </w:tc>
      </w:tr>
      <w:tr w:rsidR="00546C6B" w:rsidRPr="00546C6B" w:rsidTr="00EF7944">
        <w:trPr>
          <w:trHeight w:val="7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546C6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46C6B" w:rsidRPr="00546C6B" w:rsidTr="0046413D">
        <w:trPr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546C6B" w:rsidRPr="00546C6B" w:rsidTr="0046413D">
        <w:trPr>
          <w:trHeight w:val="65"/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546C6B" w:rsidRPr="00546C6B" w:rsidTr="00EF7944">
        <w:trPr>
          <w:trHeight w:val="4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3A40" w:rsidRPr="00546C6B" w:rsidRDefault="00643A40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 w:cs="Times Armenian"/>
                <w:sz w:val="12"/>
                <w:szCs w:val="12"/>
                <w:lang w:val="es-ES"/>
              </w:rPr>
              <w:t>Գնումն իրականացվել է «Գնումների մասին» ՀՀ օրենքի 15-րդ հոդվածի 6-րդ կետի 2-րդ ենթակետի հիման վրա:</w:t>
            </w:r>
          </w:p>
        </w:tc>
      </w:tr>
      <w:tr w:rsidR="00546C6B" w:rsidRPr="00546C6B" w:rsidTr="0046413D">
        <w:trPr>
          <w:trHeight w:val="155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546C6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546C6B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546C6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9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43A40" w:rsidRPr="00546C6B" w:rsidRDefault="00643A40" w:rsidP="00F151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29.10.2018թ.</w:t>
            </w:r>
          </w:p>
        </w:tc>
      </w:tr>
      <w:tr w:rsidR="00546C6B" w:rsidRPr="00546C6B" w:rsidTr="0046413D">
        <w:trPr>
          <w:trHeight w:val="67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9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546C6B" w:rsidRPr="00546C6B" w:rsidTr="00643A40">
        <w:trPr>
          <w:trHeight w:val="47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546C6B" w:rsidRPr="00546C6B" w:rsidTr="008F3950">
        <w:trPr>
          <w:trHeight w:val="129"/>
          <w:jc w:val="center"/>
        </w:trPr>
        <w:tc>
          <w:tcPr>
            <w:tcW w:w="6611" w:type="dxa"/>
            <w:gridSpan w:val="2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429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3A40" w:rsidRPr="00546C6B" w:rsidRDefault="00643A40" w:rsidP="00643A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sz w:val="12"/>
                <w:szCs w:val="12"/>
                <w:lang w:val="hy-AM"/>
              </w:rPr>
              <w:t>Հարցադրումներ չեն ստացվել։</w:t>
            </w:r>
          </w:p>
        </w:tc>
      </w:tr>
      <w:tr w:rsidR="00546C6B" w:rsidRPr="00546C6B" w:rsidTr="00EF7944">
        <w:trPr>
          <w:trHeight w:val="121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EF6978">
        <w:trPr>
          <w:trHeight w:val="40"/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14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9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546C6B" w:rsidRPr="00546C6B" w:rsidTr="00EF6978">
        <w:trPr>
          <w:trHeight w:val="35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4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546C6B" w:rsidRPr="00546C6B" w:rsidTr="00C90D65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4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546C6B" w:rsidRPr="00546C6B" w:rsidTr="00C90D65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4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46C6B" w:rsidRPr="00546C6B" w:rsidTr="00EF7944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A40" w:rsidRPr="00546C6B" w:rsidRDefault="00643A40" w:rsidP="004641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</w:tr>
      <w:tr w:rsidR="00546C6B" w:rsidRPr="00546C6B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«ԳԴԱԿ»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2111000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422200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2533200</w:t>
            </w:r>
          </w:p>
        </w:tc>
      </w:tr>
      <w:tr w:rsidR="00546C6B" w:rsidRPr="00546C6B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2135000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427000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2562000</w:t>
            </w:r>
          </w:p>
        </w:tc>
      </w:tr>
      <w:tr w:rsidR="00546C6B" w:rsidRPr="00546C6B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Ա/Ձ ՑՈԼԱԿ ԳԵՎՈՐԳՅԱՆ ՎԱՐԴԳԵՍԻ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5455200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5455200</w:t>
            </w:r>
          </w:p>
        </w:tc>
      </w:tr>
      <w:tr w:rsidR="00546C6B" w:rsidRPr="00546C6B" w:rsidTr="008323B7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Չափաբաժին 2</w:t>
            </w:r>
          </w:p>
        </w:tc>
      </w:tr>
      <w:tr w:rsidR="00546C6B" w:rsidRPr="00546C6B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«ԴԵՍԻ»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3585000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3585000</w:t>
            </w:r>
          </w:p>
        </w:tc>
      </w:tr>
      <w:tr w:rsidR="00546C6B" w:rsidRPr="00546C6B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Ա/Ձ ՑՈԼԱԿ ԳԵՎՈՐԳՅԱՆ ՎԱՐԴԳԵՍԻ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3900000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3900000</w:t>
            </w:r>
          </w:p>
        </w:tc>
      </w:tr>
      <w:tr w:rsidR="00546C6B" w:rsidRPr="00546C6B" w:rsidTr="00674D2A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Չափաբաժին 3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«Պրեմիեր»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3988530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797706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4786236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Ա/Ձ ՑՈԼԱԿ ԳԵՎՈՐԳՅԱՆ ՎԱՐԴԳԵՍԻ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5250000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5250000</w:t>
            </w:r>
          </w:p>
        </w:tc>
      </w:tr>
      <w:tr w:rsidR="00546C6B" w:rsidRPr="00546C6B" w:rsidTr="00436BAF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«Տիգման Գրուպ»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214500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42900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257400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Ա/Ձ ՑՈԼԱԿ ԳԵՎՈՐԳՅԱՆ ՎԱՐԴԳԵՍԻ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325000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325000</w:t>
            </w:r>
          </w:p>
        </w:tc>
      </w:tr>
      <w:tr w:rsidR="00546C6B" w:rsidRPr="00546C6B" w:rsidTr="00643862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2887000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577400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3464400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lastRenderedPageBreak/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«Տիգման Գրուպ»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2900000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580000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3480000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Ա/Ձ ՑՈԼԱԿ ԳԵՎՈՐԳՅԱՆ ՎԱՐԴԳԵՍԻ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3750000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3750000</w:t>
            </w:r>
          </w:p>
        </w:tc>
      </w:tr>
      <w:tr w:rsidR="00546C6B" w:rsidRPr="00546C6B" w:rsidTr="007B332A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«Տիգման Գրուպ»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122000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24400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146400</w:t>
            </w:r>
          </w:p>
        </w:tc>
      </w:tr>
      <w:tr w:rsidR="00546C6B" w:rsidRPr="00546C6B" w:rsidTr="008C5E99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3A161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987000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197400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1184400</w:t>
            </w:r>
          </w:p>
        </w:tc>
      </w:tr>
      <w:tr w:rsidR="00546C6B" w:rsidRPr="00546C6B" w:rsidTr="00970D4E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</w:p>
        </w:tc>
      </w:tr>
      <w:tr w:rsidR="00546C6B" w:rsidRPr="00546C6B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643A4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«ՕԲՈՐՈՆ ՏԵՔՍՏԻԼ»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987000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197400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1184400</w:t>
            </w:r>
          </w:p>
        </w:tc>
      </w:tr>
      <w:tr w:rsidR="00546C6B" w:rsidRPr="00546C6B" w:rsidTr="00B25875">
        <w:trPr>
          <w:trHeight w:val="83"/>
          <w:jc w:val="center"/>
        </w:trPr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161F" w:rsidRPr="00546C6B" w:rsidRDefault="003A161F" w:rsidP="00D310E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66" w:type="dxa"/>
            <w:gridSpan w:val="3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61F" w:rsidRPr="00546C6B" w:rsidRDefault="003A161F" w:rsidP="00B25875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546C6B" w:rsidRPr="00546C6B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161F" w:rsidRPr="00546C6B" w:rsidRDefault="003A161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546C6B" w:rsidRPr="00546C6B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61F" w:rsidRPr="00546C6B" w:rsidRDefault="003A16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546C6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46C6B" w:rsidRPr="00546C6B" w:rsidTr="0046413D">
        <w:trPr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546C6B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46C6B" w:rsidRPr="00546C6B" w:rsidTr="003A161F">
        <w:trPr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BED" w:rsidRPr="00546C6B" w:rsidRDefault="00CE1BED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546C6B" w:rsidRPr="00546C6B" w:rsidTr="00A17328">
        <w:trPr>
          <w:jc w:val="center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6F2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4, 6</w:t>
            </w:r>
          </w:p>
        </w:tc>
        <w:tc>
          <w:tcPr>
            <w:tcW w:w="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DF76D5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«Տիգման Գրուպ» ՍՊԸ</w:t>
            </w:r>
          </w:p>
        </w:tc>
        <w:tc>
          <w:tcPr>
            <w:tcW w:w="91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7A1A94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4-րդ չափաբաժնի մասով ներկայացրած ապրանքի տեխնիկական բնութագրում բացակայում է տեխնիկական բնութագրի անբաժանելի մաս կազմող էսքիզը:</w:t>
            </w:r>
          </w:p>
          <w:p w:rsidR="007A1A94" w:rsidRPr="00546C6B" w:rsidRDefault="007A1A94" w:rsidP="007A1A94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6-րդ չափաբաժնի մասով ներկայացրած ապրանքի տեխնիկական բնութագրում նշված չէ պիտակավորման մասին տեղեկությունը:</w:t>
            </w:r>
          </w:p>
          <w:p w:rsidR="007A1A94" w:rsidRPr="00546C6B" w:rsidRDefault="007A1A94" w:rsidP="007A1A94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Սահմանված ժամկետում «Տիգման Գրուպ» ՍՊԸ-ն չի շտկել անհամապատասխանությունները և վերջինիս հայտը մերժվել է:</w:t>
            </w:r>
          </w:p>
        </w:tc>
      </w:tr>
      <w:tr w:rsidR="00546C6B" w:rsidRPr="00546C6B" w:rsidTr="00B25875">
        <w:trPr>
          <w:trHeight w:val="40"/>
          <w:jc w:val="center"/>
        </w:trPr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66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7A1A94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</w:p>
        </w:tc>
      </w:tr>
      <w:tr w:rsidR="00546C6B" w:rsidRPr="00546C6B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46413D">
        <w:trPr>
          <w:trHeight w:val="40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D45D6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4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85535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27.12.2018թ.</w:t>
            </w:r>
          </w:p>
        </w:tc>
      </w:tr>
      <w:tr w:rsidR="00546C6B" w:rsidRPr="00546C6B" w:rsidTr="0046413D">
        <w:trPr>
          <w:trHeight w:val="92"/>
          <w:jc w:val="center"/>
        </w:trPr>
        <w:tc>
          <w:tcPr>
            <w:tcW w:w="648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546C6B" w:rsidRPr="00546C6B" w:rsidTr="0046413D">
        <w:trPr>
          <w:trHeight w:val="103"/>
          <w:jc w:val="center"/>
        </w:trPr>
        <w:tc>
          <w:tcPr>
            <w:tcW w:w="6489" w:type="dxa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1A94" w:rsidRPr="00546C6B" w:rsidRDefault="007A1A94" w:rsidP="000E6F2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28.12.2018թ.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CE1BE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06.01.2019թ.</w:t>
            </w:r>
          </w:p>
        </w:tc>
      </w:tr>
      <w:tr w:rsidR="00546C6B" w:rsidRPr="00546C6B" w:rsidTr="0046413D">
        <w:trPr>
          <w:trHeight w:val="127"/>
          <w:jc w:val="center"/>
        </w:trPr>
        <w:tc>
          <w:tcPr>
            <w:tcW w:w="648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1A94" w:rsidRPr="00546C6B" w:rsidRDefault="007A1A94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20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CE1BE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08.01.2019թ.</w:t>
            </w:r>
          </w:p>
        </w:tc>
      </w:tr>
      <w:tr w:rsidR="00546C6B" w:rsidRPr="00546C6B" w:rsidTr="0046413D">
        <w:trPr>
          <w:trHeight w:val="88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20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85535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</w:tr>
      <w:tr w:rsidR="00546C6B" w:rsidRPr="00546C6B" w:rsidTr="0046413D">
        <w:trPr>
          <w:trHeight w:val="87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4420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276F5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</w:tr>
      <w:tr w:rsidR="00546C6B" w:rsidRPr="00546C6B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546C6B" w:rsidRPr="00546C6B" w:rsidTr="0046413D">
        <w:trPr>
          <w:jc w:val="center"/>
        </w:trPr>
        <w:tc>
          <w:tcPr>
            <w:tcW w:w="12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4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546C6B" w:rsidRPr="00546C6B" w:rsidTr="0046413D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2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00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546C6B" w:rsidRPr="00546C6B" w:rsidTr="003D4F04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546C6B" w:rsidRPr="00546C6B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«ԳԴԱԿ» ՍՊԸ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3A161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ՀՀ ՊՆ ՆՏԱԴ-ԷԱՃԱՊՁԲ-7/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24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>-1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276F5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2533200</w:t>
            </w:r>
          </w:p>
        </w:tc>
      </w:tr>
      <w:tr w:rsidR="00546C6B" w:rsidRPr="00546C6B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«ԴԵՍԻ» ՍՊԸ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ՀՀ ՊՆ ՆՏԱԴ-ԷԱՃԱՊՁԲ-7/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24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3585000</w:t>
            </w:r>
          </w:p>
        </w:tc>
      </w:tr>
      <w:tr w:rsidR="00546C6B" w:rsidRPr="00546C6B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«Պրեմիեր» ՍՊԸ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ՀՀ ՊՆ ՆՏԱԴ-ԷԱՃԱՊՁԲ-7/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24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282A89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4786236</w:t>
            </w:r>
          </w:p>
        </w:tc>
      </w:tr>
      <w:tr w:rsidR="00546C6B" w:rsidRPr="00546C6B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5, 7, 8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ՀՀ ՊՆ ՆՏԱԴ-ԷԱՃԱՊՁԲ-7/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24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282A89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5833200</w:t>
            </w:r>
          </w:p>
        </w:tc>
      </w:tr>
      <w:tr w:rsidR="00546C6B" w:rsidRPr="00546C6B" w:rsidTr="00EF7944">
        <w:trPr>
          <w:trHeight w:val="15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46C6B" w:rsidRPr="00546C6B" w:rsidTr="00282A89">
        <w:trPr>
          <w:trHeight w:val="12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4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546C6B" w:rsidRPr="00546C6B" w:rsidTr="00282A89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«ԳԴԱԿ» ՍՊԸ</w:t>
            </w:r>
          </w:p>
        </w:tc>
        <w:tc>
          <w:tcPr>
            <w:tcW w:w="34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ք.ԵՐԵՎԱՆ Սարի-թաղ 1-ին շարք տ.8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Արդշինբանկ</w:t>
            </w:r>
          </w:p>
          <w:p w:rsidR="007A1A94" w:rsidRPr="00546C6B" w:rsidRDefault="007A1A94" w:rsidP="00282A8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2470100487150000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282A89" w:rsidP="00282A8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 xml:space="preserve">ՀՎՀՀ </w:t>
            </w:r>
            <w:r w:rsidR="007A1A94" w:rsidRPr="00546C6B">
              <w:rPr>
                <w:rFonts w:ascii="GHEA Grapalat" w:hAnsi="GHEA Grapalat"/>
                <w:sz w:val="12"/>
                <w:szCs w:val="12"/>
              </w:rPr>
              <w:t>00432114</w:t>
            </w:r>
          </w:p>
        </w:tc>
      </w:tr>
      <w:tr w:rsidR="00546C6B" w:rsidRPr="00546C6B" w:rsidTr="00282A89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«ԴԵՍԻ» ՍՊԸ</w:t>
            </w:r>
          </w:p>
        </w:tc>
        <w:tc>
          <w:tcPr>
            <w:tcW w:w="34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Վաղարշապատ(Էջմիածին) Վազգեն Առաջինի փ. 1 36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A89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Արդշինբանկ ՓԲԸ, Մասիսի մ/ճ</w:t>
            </w:r>
          </w:p>
          <w:p w:rsidR="007A1A94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2472904229030000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282A8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 xml:space="preserve">ՀՎՀՀ </w:t>
            </w:r>
            <w:r w:rsidR="00282A89" w:rsidRPr="00546C6B">
              <w:rPr>
                <w:rFonts w:ascii="GHEA Grapalat" w:hAnsi="GHEA Grapalat"/>
                <w:sz w:val="12"/>
                <w:szCs w:val="12"/>
              </w:rPr>
              <w:t>04727235</w:t>
            </w:r>
          </w:p>
        </w:tc>
      </w:tr>
      <w:tr w:rsidR="00546C6B" w:rsidRPr="00546C6B" w:rsidTr="00282A89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«Պրեմիեր» ՍՊԸ</w:t>
            </w:r>
          </w:p>
        </w:tc>
        <w:tc>
          <w:tcPr>
            <w:tcW w:w="34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ԱՀ ք. Մարտունի Սայաթ Նովա 31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ԱԿԲԱ-ԿՐԵԴԻՏ-ԱԳՐԻԿՈԼ ԲԱՆԿ ՓԲԸ</w:t>
            </w:r>
          </w:p>
          <w:p w:rsidR="00282A89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220410121671000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282A8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 xml:space="preserve">ՀՎՀՀ </w:t>
            </w:r>
            <w:r w:rsidR="00282A89" w:rsidRPr="00546C6B">
              <w:rPr>
                <w:rFonts w:ascii="GHEA Grapalat" w:hAnsi="GHEA Grapalat"/>
                <w:sz w:val="12"/>
                <w:szCs w:val="12"/>
              </w:rPr>
              <w:t>90213367</w:t>
            </w:r>
          </w:p>
        </w:tc>
      </w:tr>
      <w:tr w:rsidR="00546C6B" w:rsidRPr="00546C6B" w:rsidTr="00282A89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hy-AM"/>
              </w:rPr>
              <w:t>5, 7, 8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34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ՀԱՅԱՍՏԱՆ ԵՐԵՎԱՆ ԲՈՒՌՆԱԶՅԱՆ Փ /Տ/ 57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0E2F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A89" w:rsidRPr="00546C6B" w:rsidRDefault="00282A89" w:rsidP="00282A8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ԷՎՈԿԱԲԱՆԿ ՓԲԸ</w:t>
            </w:r>
          </w:p>
          <w:p w:rsidR="007A1A94" w:rsidRPr="00546C6B" w:rsidRDefault="00282A89" w:rsidP="00282A8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>16600 04598740100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282A8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46C6B">
              <w:rPr>
                <w:rFonts w:ascii="GHEA Grapalat" w:hAnsi="GHEA Grapalat"/>
                <w:sz w:val="12"/>
                <w:szCs w:val="12"/>
              </w:rPr>
              <w:t xml:space="preserve">ՀՎՀՀ </w:t>
            </w:r>
            <w:r w:rsidR="00282A89" w:rsidRPr="00546C6B">
              <w:rPr>
                <w:rFonts w:ascii="GHEA Grapalat" w:hAnsi="GHEA Grapalat"/>
                <w:sz w:val="12"/>
                <w:szCs w:val="12"/>
              </w:rPr>
              <w:t>00473169</w:t>
            </w:r>
          </w:p>
        </w:tc>
      </w:tr>
      <w:tr w:rsidR="00546C6B" w:rsidRPr="00546C6B" w:rsidTr="00EF7944">
        <w:trPr>
          <w:trHeight w:val="14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46413D">
        <w:trPr>
          <w:trHeight w:val="10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3A161F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Ընթացակարգը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4-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րդ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և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6-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րդ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չափաբաժինների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մասով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հայտարարվել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է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չկայացած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հիմք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ընդունելով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«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Գնումների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մասին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»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օրենքի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37-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րդ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հոդվածի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1-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ին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մասի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1-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ին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կետը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(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հայտերից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ոչ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մեկը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չի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համապատասխանում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հրավերի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պայմաններին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>):</w:t>
            </w:r>
          </w:p>
        </w:tc>
      </w:tr>
      <w:tr w:rsidR="00546C6B" w:rsidRPr="00546C6B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46413D">
        <w:trPr>
          <w:trHeight w:val="159"/>
          <w:jc w:val="center"/>
        </w:trPr>
        <w:tc>
          <w:tcPr>
            <w:tcW w:w="53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1A94" w:rsidRPr="00546C6B" w:rsidRDefault="007A1A94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A94" w:rsidRPr="00546C6B" w:rsidRDefault="007A1A94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546C6B" w:rsidRPr="00546C6B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46413D">
        <w:trPr>
          <w:trHeight w:val="427"/>
          <w:jc w:val="center"/>
        </w:trPr>
        <w:tc>
          <w:tcPr>
            <w:tcW w:w="53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5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546C6B" w:rsidRPr="00546C6B" w:rsidTr="00EF7944">
        <w:trPr>
          <w:trHeight w:val="98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46413D">
        <w:trPr>
          <w:trHeight w:val="95"/>
          <w:jc w:val="center"/>
        </w:trPr>
        <w:tc>
          <w:tcPr>
            <w:tcW w:w="53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5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546C6B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546C6B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546C6B" w:rsidRPr="00546C6B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46413D">
        <w:trPr>
          <w:trHeight w:val="14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C012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46C6B" w:rsidRPr="00546C6B" w:rsidTr="00EF7944">
        <w:trPr>
          <w:trHeight w:val="6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1A94" w:rsidRPr="00546C6B" w:rsidRDefault="007A1A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46C6B" w:rsidRPr="00546C6B" w:rsidTr="00EF7944">
        <w:trPr>
          <w:trHeight w:val="22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C6B" w:rsidRPr="00546C6B" w:rsidTr="0046413D">
        <w:trPr>
          <w:trHeight w:val="47"/>
          <w:jc w:val="center"/>
        </w:trPr>
        <w:tc>
          <w:tcPr>
            <w:tcW w:w="3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546C6B" w:rsidRPr="00546C6B" w:rsidTr="0046413D">
        <w:trPr>
          <w:trHeight w:val="47"/>
          <w:jc w:val="center"/>
        </w:trPr>
        <w:tc>
          <w:tcPr>
            <w:tcW w:w="3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A94" w:rsidRPr="00546C6B" w:rsidRDefault="007A1A94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A94" w:rsidRPr="00546C6B" w:rsidRDefault="007A1A94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46C6B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546C6B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Pr="00546C6B" w:rsidRDefault="005624D9" w:rsidP="005624D9">
      <w:pPr>
        <w:spacing w:after="240"/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546C6B">
        <w:rPr>
          <w:rFonts w:ascii="GHEA Grapalat" w:hAnsi="GHEA Grapalat" w:cs="Sylfaen"/>
          <w:b/>
          <w:sz w:val="20"/>
          <w:lang w:val="af-ZA"/>
        </w:rPr>
        <w:t>Պատվիրատու</w:t>
      </w:r>
      <w:r w:rsidRPr="00546C6B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bookmarkEnd w:id="0"/>
    <w:p w:rsidR="000E02B2" w:rsidRPr="00546C6B" w:rsidRDefault="000E02B2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0E02B2" w:rsidRPr="00546C6B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0"/>
    <w:multiLevelType w:val="hybridMultilevel"/>
    <w:tmpl w:val="287A4DE6"/>
    <w:lvl w:ilvl="0" w:tplc="C8B8B16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DD6CFCBC">
      <w:start w:val="15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B2C"/>
    <w:multiLevelType w:val="hybridMultilevel"/>
    <w:tmpl w:val="F8DCBE3C"/>
    <w:lvl w:ilvl="0" w:tplc="9B98A296">
      <w:start w:val="1"/>
      <w:numFmt w:val="decimal"/>
      <w:lvlText w:val="%1."/>
      <w:lvlJc w:val="left"/>
      <w:pPr>
        <w:ind w:left="578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67C6366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060A"/>
    <w:multiLevelType w:val="hybridMultilevel"/>
    <w:tmpl w:val="D646D1AC"/>
    <w:lvl w:ilvl="0" w:tplc="081C7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768A"/>
    <w:multiLevelType w:val="hybridMultilevel"/>
    <w:tmpl w:val="B1BAA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C8B"/>
    <w:multiLevelType w:val="hybridMultilevel"/>
    <w:tmpl w:val="1650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ACD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35159"/>
    <w:multiLevelType w:val="hybridMultilevel"/>
    <w:tmpl w:val="EDB26DFE"/>
    <w:lvl w:ilvl="0" w:tplc="016627AC">
      <w:start w:val="15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3FC5B7A">
      <w:start w:val="158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1CFD3A44"/>
    <w:multiLevelType w:val="hybridMultilevel"/>
    <w:tmpl w:val="093E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2259"/>
    <w:multiLevelType w:val="hybridMultilevel"/>
    <w:tmpl w:val="C624C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E545B1"/>
    <w:multiLevelType w:val="hybridMultilevel"/>
    <w:tmpl w:val="D8A8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56F7C8">
      <w:start w:val="9"/>
      <w:numFmt w:val="bullet"/>
      <w:lvlText w:val="-"/>
      <w:lvlJc w:val="left"/>
      <w:pPr>
        <w:ind w:left="2955" w:hanging="435"/>
      </w:pPr>
      <w:rPr>
        <w:rFonts w:ascii="Times Armenian" w:eastAsia="Times New Roman" w:hAnsi="Times Armeni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64425A1"/>
    <w:multiLevelType w:val="hybridMultilevel"/>
    <w:tmpl w:val="9600F496"/>
    <w:lvl w:ilvl="0" w:tplc="3132CC5C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D5E15"/>
    <w:multiLevelType w:val="hybridMultilevel"/>
    <w:tmpl w:val="CF6CF0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7B0371D"/>
    <w:multiLevelType w:val="hybridMultilevel"/>
    <w:tmpl w:val="A8264878"/>
    <w:lvl w:ilvl="0" w:tplc="AD588024">
      <w:start w:val="4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9B121C"/>
    <w:multiLevelType w:val="hybridMultilevel"/>
    <w:tmpl w:val="F1FC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F1158"/>
    <w:multiLevelType w:val="hybridMultilevel"/>
    <w:tmpl w:val="0D026FBC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B95CA1"/>
    <w:multiLevelType w:val="hybridMultilevel"/>
    <w:tmpl w:val="E9C8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EAC07A8">
      <w:start w:val="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8569B"/>
    <w:multiLevelType w:val="multilevel"/>
    <w:tmpl w:val="024C99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3EFA3D3D"/>
    <w:multiLevelType w:val="hybridMultilevel"/>
    <w:tmpl w:val="1A241D28"/>
    <w:lvl w:ilvl="0" w:tplc="9A30CD3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E252904"/>
    <w:multiLevelType w:val="hybridMultilevel"/>
    <w:tmpl w:val="7D72E7D0"/>
    <w:lvl w:ilvl="0" w:tplc="A9A47B58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B0622"/>
    <w:multiLevelType w:val="hybridMultilevel"/>
    <w:tmpl w:val="56A0D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0928E9"/>
    <w:multiLevelType w:val="hybridMultilevel"/>
    <w:tmpl w:val="7AEC1AD2"/>
    <w:lvl w:ilvl="0" w:tplc="2D7EB0B0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2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>
    <w:nsid w:val="57C44B01"/>
    <w:multiLevelType w:val="hybridMultilevel"/>
    <w:tmpl w:val="B8F2CABA"/>
    <w:lvl w:ilvl="0" w:tplc="5E821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A556F3"/>
    <w:multiLevelType w:val="hybridMultilevel"/>
    <w:tmpl w:val="E634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C471B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36B9F"/>
    <w:multiLevelType w:val="hybridMultilevel"/>
    <w:tmpl w:val="1216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654D"/>
    <w:multiLevelType w:val="hybridMultilevel"/>
    <w:tmpl w:val="EBB03BC8"/>
    <w:lvl w:ilvl="0" w:tplc="D158AE6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>
    <w:nsid w:val="6ED357F5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EB3247"/>
    <w:multiLevelType w:val="hybridMultilevel"/>
    <w:tmpl w:val="8BA26D56"/>
    <w:lvl w:ilvl="0" w:tplc="CFD00CB6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D0350"/>
    <w:multiLevelType w:val="hybridMultilevel"/>
    <w:tmpl w:val="E482CFDE"/>
    <w:lvl w:ilvl="0" w:tplc="27C62C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EB40F20"/>
    <w:multiLevelType w:val="hybridMultilevel"/>
    <w:tmpl w:val="A050BFFA"/>
    <w:lvl w:ilvl="0" w:tplc="5E16F42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3"/>
  </w:num>
  <w:num w:numId="5">
    <w:abstractNumId w:val="34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</w:num>
  <w:num w:numId="11">
    <w:abstractNumId w:val="10"/>
  </w:num>
  <w:num w:numId="12">
    <w:abstractNumId w:val="42"/>
  </w:num>
  <w:num w:numId="13">
    <w:abstractNumId w:val="37"/>
  </w:num>
  <w:num w:numId="14">
    <w:abstractNumId w:val="18"/>
  </w:num>
  <w:num w:numId="15">
    <w:abstractNumId w:val="41"/>
  </w:num>
  <w:num w:numId="16">
    <w:abstractNumId w:val="21"/>
  </w:num>
  <w:num w:numId="17">
    <w:abstractNumId w:val="6"/>
  </w:num>
  <w:num w:numId="18">
    <w:abstractNumId w:val="30"/>
  </w:num>
  <w:num w:numId="19">
    <w:abstractNumId w:val="20"/>
  </w:num>
  <w:num w:numId="20">
    <w:abstractNumId w:val="35"/>
  </w:num>
  <w:num w:numId="21">
    <w:abstractNumId w:val="24"/>
  </w:num>
  <w:num w:numId="22">
    <w:abstractNumId w:val="15"/>
  </w:num>
  <w:num w:numId="23">
    <w:abstractNumId w:val="26"/>
  </w:num>
  <w:num w:numId="24">
    <w:abstractNumId w:val="4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6"/>
  </w:num>
  <w:num w:numId="28">
    <w:abstractNumId w:val="27"/>
  </w:num>
  <w:num w:numId="29">
    <w:abstractNumId w:val="0"/>
  </w:num>
  <w:num w:numId="30">
    <w:abstractNumId w:val="26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</w:num>
  <w:num w:numId="33">
    <w:abstractNumId w:val="4"/>
  </w:num>
  <w:num w:numId="34">
    <w:abstractNumId w:val="39"/>
  </w:num>
  <w:num w:numId="35">
    <w:abstractNumId w:val="8"/>
  </w:num>
  <w:num w:numId="36">
    <w:abstractNumId w:val="2"/>
  </w:num>
  <w:num w:numId="37">
    <w:abstractNumId w:val="28"/>
  </w:num>
  <w:num w:numId="38">
    <w:abstractNumId w:val="33"/>
  </w:num>
  <w:num w:numId="39">
    <w:abstractNumId w:val="38"/>
  </w:num>
  <w:num w:numId="40">
    <w:abstractNumId w:val="17"/>
  </w:num>
  <w:num w:numId="41">
    <w:abstractNumId w:val="3"/>
  </w:num>
  <w:num w:numId="42">
    <w:abstractNumId w:val="11"/>
  </w:num>
  <w:num w:numId="43">
    <w:abstractNumId w:val="19"/>
  </w:num>
  <w:num w:numId="44">
    <w:abstractNumId w:val="9"/>
  </w:num>
  <w:num w:numId="45">
    <w:abstractNumId w:val="7"/>
  </w:num>
  <w:num w:numId="46">
    <w:abstractNumId w:val="13"/>
  </w:num>
  <w:num w:numId="47">
    <w:abstractNumId w:val="12"/>
  </w:num>
  <w:num w:numId="48">
    <w:abstractNumId w:val="2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31EBD"/>
    <w:rsid w:val="00043669"/>
    <w:rsid w:val="0005380B"/>
    <w:rsid w:val="0005610A"/>
    <w:rsid w:val="00087B29"/>
    <w:rsid w:val="000B2624"/>
    <w:rsid w:val="000B5A82"/>
    <w:rsid w:val="000C35A6"/>
    <w:rsid w:val="000C7E38"/>
    <w:rsid w:val="000E02B2"/>
    <w:rsid w:val="000E6F2D"/>
    <w:rsid w:val="000F44B0"/>
    <w:rsid w:val="001144E9"/>
    <w:rsid w:val="00122E3F"/>
    <w:rsid w:val="00125BF2"/>
    <w:rsid w:val="00171DA3"/>
    <w:rsid w:val="001765A5"/>
    <w:rsid w:val="001C5EE0"/>
    <w:rsid w:val="001D794B"/>
    <w:rsid w:val="001E3CF6"/>
    <w:rsid w:val="001E6988"/>
    <w:rsid w:val="001F5F1E"/>
    <w:rsid w:val="0023055E"/>
    <w:rsid w:val="00282A89"/>
    <w:rsid w:val="002A1D93"/>
    <w:rsid w:val="002A498E"/>
    <w:rsid w:val="002D1A31"/>
    <w:rsid w:val="00305085"/>
    <w:rsid w:val="003217D7"/>
    <w:rsid w:val="00354F79"/>
    <w:rsid w:val="0038642B"/>
    <w:rsid w:val="003874D3"/>
    <w:rsid w:val="00393F6B"/>
    <w:rsid w:val="003A0108"/>
    <w:rsid w:val="003A161F"/>
    <w:rsid w:val="003C4FF0"/>
    <w:rsid w:val="003D4F04"/>
    <w:rsid w:val="003E589E"/>
    <w:rsid w:val="00421675"/>
    <w:rsid w:val="00426E09"/>
    <w:rsid w:val="0046413D"/>
    <w:rsid w:val="004B1F48"/>
    <w:rsid w:val="004B2B6A"/>
    <w:rsid w:val="00520980"/>
    <w:rsid w:val="005309F7"/>
    <w:rsid w:val="00535329"/>
    <w:rsid w:val="00536D7B"/>
    <w:rsid w:val="00546C6B"/>
    <w:rsid w:val="005624D9"/>
    <w:rsid w:val="00602117"/>
    <w:rsid w:val="006276A9"/>
    <w:rsid w:val="006411FC"/>
    <w:rsid w:val="00643A40"/>
    <w:rsid w:val="00661DD2"/>
    <w:rsid w:val="0066584B"/>
    <w:rsid w:val="00681F37"/>
    <w:rsid w:val="00686BC7"/>
    <w:rsid w:val="00695618"/>
    <w:rsid w:val="00697E6D"/>
    <w:rsid w:val="007305A9"/>
    <w:rsid w:val="00742F12"/>
    <w:rsid w:val="00756E8C"/>
    <w:rsid w:val="00764123"/>
    <w:rsid w:val="007A1249"/>
    <w:rsid w:val="007A1A94"/>
    <w:rsid w:val="007E2B14"/>
    <w:rsid w:val="007E520C"/>
    <w:rsid w:val="007F4D3A"/>
    <w:rsid w:val="00822481"/>
    <w:rsid w:val="008303E3"/>
    <w:rsid w:val="0083386E"/>
    <w:rsid w:val="00847E8C"/>
    <w:rsid w:val="0085535D"/>
    <w:rsid w:val="00873280"/>
    <w:rsid w:val="00880E6C"/>
    <w:rsid w:val="00885465"/>
    <w:rsid w:val="008E68E5"/>
    <w:rsid w:val="00920E1D"/>
    <w:rsid w:val="00961D6E"/>
    <w:rsid w:val="00965CAE"/>
    <w:rsid w:val="009C6870"/>
    <w:rsid w:val="009E1771"/>
    <w:rsid w:val="009E3D9E"/>
    <w:rsid w:val="00A04F97"/>
    <w:rsid w:val="00A10DED"/>
    <w:rsid w:val="00A121C5"/>
    <w:rsid w:val="00A2337E"/>
    <w:rsid w:val="00A54C9E"/>
    <w:rsid w:val="00A905BD"/>
    <w:rsid w:val="00AA6340"/>
    <w:rsid w:val="00AD06FF"/>
    <w:rsid w:val="00B25875"/>
    <w:rsid w:val="00B65706"/>
    <w:rsid w:val="00BB45E1"/>
    <w:rsid w:val="00BE7AC1"/>
    <w:rsid w:val="00BF624D"/>
    <w:rsid w:val="00C012B4"/>
    <w:rsid w:val="00C014FF"/>
    <w:rsid w:val="00C90D65"/>
    <w:rsid w:val="00CB4740"/>
    <w:rsid w:val="00CB56E9"/>
    <w:rsid w:val="00CE1BED"/>
    <w:rsid w:val="00CF43F5"/>
    <w:rsid w:val="00D1496A"/>
    <w:rsid w:val="00D15265"/>
    <w:rsid w:val="00D238E2"/>
    <w:rsid w:val="00D45D60"/>
    <w:rsid w:val="00D527CC"/>
    <w:rsid w:val="00D55BD3"/>
    <w:rsid w:val="00D837F4"/>
    <w:rsid w:val="00D85B60"/>
    <w:rsid w:val="00D904D0"/>
    <w:rsid w:val="00D9722C"/>
    <w:rsid w:val="00DA2F07"/>
    <w:rsid w:val="00DD24E2"/>
    <w:rsid w:val="00DD3C6A"/>
    <w:rsid w:val="00DF6756"/>
    <w:rsid w:val="00DF76D5"/>
    <w:rsid w:val="00E300E2"/>
    <w:rsid w:val="00E56190"/>
    <w:rsid w:val="00E74B45"/>
    <w:rsid w:val="00E8252A"/>
    <w:rsid w:val="00EF2205"/>
    <w:rsid w:val="00EF6978"/>
    <w:rsid w:val="00EF7944"/>
    <w:rsid w:val="00F151D6"/>
    <w:rsid w:val="00F151FE"/>
    <w:rsid w:val="00F307F7"/>
    <w:rsid w:val="00F31A5C"/>
    <w:rsid w:val="00F542BE"/>
    <w:rsid w:val="00F5655C"/>
    <w:rsid w:val="00F64A4F"/>
    <w:rsid w:val="00FA6B66"/>
    <w:rsid w:val="00FD3DBC"/>
    <w:rsid w:val="00FD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uiPriority w:val="99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xl76">
    <w:name w:val="xl76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7">
    <w:name w:val="xl77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8">
    <w:name w:val="xl78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9">
    <w:name w:val="xl79"/>
    <w:basedOn w:val="Normal"/>
    <w:rsid w:val="004B1F4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2066</Words>
  <Characters>11778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111</cp:revision>
  <cp:lastPrinted>2019-01-18T05:42:00Z</cp:lastPrinted>
  <dcterms:created xsi:type="dcterms:W3CDTF">2018-03-23T18:48:00Z</dcterms:created>
  <dcterms:modified xsi:type="dcterms:W3CDTF">2019-01-18T10:18:00Z</dcterms:modified>
</cp:coreProperties>
</file>