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287D30F" w:rsidR="0022631D" w:rsidRPr="00F42D43" w:rsidRDefault="007C6975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7C697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«Գեղարդի հովտի ագրոտուրիզմի զարգացման»  ՀԿ</w:t>
      </w:r>
      <w:r w:rsidR="00D82680"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D181A" w:rsidRPr="008D181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գ. Պռոշյան Գամի 4-րդ շենք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94353">
        <w:rPr>
          <w:rFonts w:ascii="GHEA Grapalat" w:hAnsi="GHEA Grapalat" w:cs="Sylfaen"/>
          <w:b/>
          <w:lang w:val="hy-AM"/>
        </w:rPr>
        <w:t>ծառայություններ</w:t>
      </w:r>
      <w:r w:rsidR="0035266A">
        <w:rPr>
          <w:rFonts w:ascii="GHEA Grapalat" w:hAnsi="GHEA Grapalat" w:cs="Sylfaen"/>
          <w:b/>
          <w:lang w:val="hy-AM"/>
        </w:rPr>
        <w:t>ի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94353" w:rsidRPr="00594353">
        <w:rPr>
          <w:rFonts w:ascii="GHEA Grapalat" w:hAnsi="GHEA Grapalat"/>
          <w:b/>
          <w:bCs/>
          <w:color w:val="000000"/>
          <w:sz w:val="20"/>
          <w:lang w:val="af-ZA"/>
        </w:rPr>
        <w:t>ԳՀԱԶ-ՄԱԾՁԲ-26Դ/</w:t>
      </w:r>
      <w:r w:rsidR="006C0E1F">
        <w:rPr>
          <w:rFonts w:ascii="GHEA Grapalat" w:hAnsi="GHEA Grapalat"/>
          <w:b/>
          <w:bCs/>
          <w:color w:val="000000"/>
          <w:sz w:val="20"/>
          <w:lang w:val="af-ZA"/>
        </w:rPr>
        <w:t>3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закупки</w:t>
            </w:r>
          </w:p>
        </w:tc>
      </w:tr>
      <w:tr w:rsidR="008D2A5E" w:rsidRPr="007116D2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 цена</w:t>
            </w:r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 описание (техническая характеристика)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</w:t>
            </w:r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/драмов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7C6975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4" w:space="0" w:color="auto"/>
            </w:tcBorders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1528" w:type="dxa"/>
            <w:gridSpan w:val="4"/>
            <w:vMerge/>
            <w:tcBorders>
              <w:bottom w:val="single" w:sz="4" w:space="0" w:color="auto"/>
            </w:tcBorders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4" w:space="0" w:color="auto"/>
            </w:tcBorders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C6975" w:rsidRPr="0022631D" w14:paraId="6CB0AC86" w14:textId="10108D9C" w:rsidTr="007C6975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77777777" w:rsidR="007C6975" w:rsidRPr="007C6975" w:rsidRDefault="007C6975" w:rsidP="007C69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C697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F035" w14:textId="3C119878" w:rsidR="007C6975" w:rsidRPr="007C6975" w:rsidRDefault="007116D2" w:rsidP="007C69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116D2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պատճենահանող սարքերի վերանորոգման ծառայություններ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5401247F" w:rsidR="007C6975" w:rsidRPr="007C6975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EE47" w14:textId="50D91302" w:rsidR="007C6975" w:rsidRPr="007C6975" w:rsidRDefault="00551D34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DE3" w14:textId="292DA210" w:rsidR="007C6975" w:rsidRPr="007C6975" w:rsidRDefault="007C6975" w:rsidP="007C6975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0F81" w14:textId="3787E967" w:rsidR="007C6975" w:rsidRPr="007C6975" w:rsidRDefault="00551D34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AF6A" w14:textId="61F0F726" w:rsidR="007C6975" w:rsidRPr="007C6975" w:rsidRDefault="00551D34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5066" w14:textId="1DB71F7C" w:rsidR="007C6975" w:rsidRPr="007C6975" w:rsidRDefault="00EC70A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</w:t>
            </w:r>
            <w:r w:rsidR="007C6975" w:rsidRPr="007C697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932" w14:textId="6B5106D9" w:rsidR="007C6975" w:rsidRPr="007C6975" w:rsidRDefault="00EC70A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</w:t>
            </w:r>
            <w:r w:rsidR="007C6975" w:rsidRPr="007C697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0FCA" w14:textId="77777777" w:rsidR="001A1DFD" w:rsidRPr="001A1DFD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Canon image CLASS MF3010 կամ համարժեք պատճենահանող և տպիչ սարքերի քարթրիջների լիցքավորում համապատասխան տոներներով: Մեկ լիցքավորված վիճակում առնվազն (A4) </w:t>
            </w: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2000 թերթի տպագրում</w:t>
            </w:r>
          </w:p>
          <w:p w14:paraId="7352A780" w14:textId="77777777" w:rsidR="001A1DFD" w:rsidRPr="001A1DFD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EPSON L3250 կամ համարժեք պատճենահանող և տպիչ սարքերի քարթրիջների լիցքավորում համապատասխան տոներներով: Մեկ լիցքավորված վիճակում առնվազն (A4) 1600 թերթի տպագրում</w:t>
            </w:r>
          </w:p>
          <w:p w14:paraId="44F0C1BA" w14:textId="77777777" w:rsidR="001A1DFD" w:rsidRPr="001A1DFD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Canon image CLASS MF3010, EPSON L3250 կամ համարժեք պատճենահանող և տպիչ սարքերի վերանորոգում (Թմբուկ, Կառատրոն, Ռաքել, Դոզատոր, Մագնիսական գլան, Չիպ, կորպոս,տոներ և այլն), պրոֆիլակտիկ մաքրում և սպասարկում (ջերմոժապավեն, ռետինե լիսեռ, ատամնանիվ, վառարան, մայրական սալիկ, թղթի քաշող հարթակի, լազեր և այլն) ներառյալ բոլոր պահեստամասերը:</w:t>
            </w:r>
          </w:p>
          <w:p w14:paraId="6344C985" w14:textId="77777777" w:rsidR="001A1DFD" w:rsidRPr="001A1DFD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Ծառայության մատուցման </w:t>
            </w: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ընթացքում օգտագործվող բոլոր նյութերի և պահեստամասերի փոխարինումը կատարվում է կատարողի հաշվին:</w:t>
            </w:r>
          </w:p>
          <w:p w14:paraId="1013593A" w14:textId="60F3E20F" w:rsidR="007C6975" w:rsidRPr="007C6975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Միացման մալուխներ, էլեկտրական դետալների փոխարինում, մայրական սալիկի վերանորոգում՝ ներառյալ պահեստամասերը, սնուցման բլոկի  վերանորոգում (ներառյալ պահեստամասերը), ինչպես նաև այլ անհրաժեշտ պահեստամասերի փոխարինում որակյալ և օրիգինալ պահեստամասերով։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07A773D7" w:rsidR="007C6975" w:rsidRPr="007C6975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252C" w14:textId="77777777" w:rsidR="001A1DFD" w:rsidRPr="001A1DFD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Canon image CLASS MF3010 կամ համարժեք պատճենահանող և տպիչ սարքերի քարթրիջների լիցքավորում համապատասխան տոներներով: Մեկ լիցքավորված վիճակում </w:t>
            </w: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առնվազն (A4) 2000 թերթի տպագրում</w:t>
            </w:r>
          </w:p>
          <w:p w14:paraId="0FAED99C" w14:textId="77777777" w:rsidR="001A1DFD" w:rsidRPr="001A1DFD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EPSON L3250 կամ համարժեք պատճենահանող և տպիչ սարքերի քարթրիջների լիցքավորում համապատասխան տոներներով: Մեկ լիցքավորված վիճակում առնվազն (A4) 1600 թերթի տպագրում</w:t>
            </w:r>
          </w:p>
          <w:p w14:paraId="41DEFA3B" w14:textId="77777777" w:rsidR="001A1DFD" w:rsidRPr="001A1DFD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Canon image CLASS MF3010, EPSON L3250 կամ համարժեք պատճենահանող և տպիչ սարքերի վերանորոգում (Թմբուկ, Կառատրոն, Ռաքել, Դոզատոր, Մագնիսական գլան, Չիպ, կորպոս,տոներ և այլն), պրոֆիլակտիկ մաքրում և սպասարկում (ջերմոժապավեն, ռետինե լիսեռ, ատամնանիվ, վառարան, մայրական սալիկ, թղթի քաշող հարթակի, </w:t>
            </w: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լազեր և այլն) ներառյալ բոլոր պահեստամասերը:</w:t>
            </w:r>
          </w:p>
          <w:p w14:paraId="22328AFE" w14:textId="77777777" w:rsidR="001A1DFD" w:rsidRPr="001A1DFD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Ծառայության մատուցման ընթացքում օգտագործվող բոլոր նյութերի և պահեստամասերի փոխարինումը կատարվում է կատարողի հաշվին:</w:t>
            </w:r>
          </w:p>
          <w:p w14:paraId="5152B32D" w14:textId="080AF8C9" w:rsidR="007C6975" w:rsidRPr="007C6975" w:rsidRDefault="001A1DFD" w:rsidP="001A1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A1DF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Միացման մալուխներ, էլեկտրական դետալների փոխարինում, մայրական սալիկի վերանորոգում՝ ներառյալ պահեստամասերը, սնուցման բլոկի  վերանորոգում (ներառյալ պահեստամասերը), ինչպես նաև այլ անհրաժեշտ պահեստամասերի փոխարինում որակյալ և օրիգինալ պահեստամասերով։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7F885F58" w:rsidR="007C6975" w:rsidRPr="003E3A2F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7C6975" w:rsidRPr="00F95F36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7C6975" w:rsidRPr="00840A74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6975" w:rsidRPr="007116D2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32391979" w:rsidR="007C6975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2D937A9" w:rsidR="007C6975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23-րդ հոդված</w:t>
            </w:r>
          </w:p>
        </w:tc>
      </w:tr>
      <w:tr w:rsidR="007C6975" w:rsidRPr="007116D2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7C6975" w:rsidRPr="009451B5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C6975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7C6975" w:rsidRPr="009451B5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470FA6A3" w:rsidR="007C6975" w:rsidRPr="00E5551A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851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․06․2026</w:t>
            </w:r>
          </w:p>
        </w:tc>
      </w:tr>
      <w:tr w:rsidR="007C6975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7C6975" w:rsidRPr="009451B5" w:rsidRDefault="007C6975" w:rsidP="007C6975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7C6975" w:rsidRPr="0022631D" w:rsidRDefault="007C6975" w:rsidP="007C69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7C6975" w:rsidRPr="0022631D" w:rsidRDefault="007C6975" w:rsidP="007C69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vAlign w:val="center"/>
          </w:tcPr>
          <w:p w14:paraId="766AA406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 запроса</w:t>
            </w:r>
          </w:p>
        </w:tc>
        <w:tc>
          <w:tcPr>
            <w:tcW w:w="3203" w:type="dxa"/>
            <w:gridSpan w:val="5"/>
            <w:vAlign w:val="center"/>
          </w:tcPr>
          <w:p w14:paraId="76F80059" w14:textId="66C749DB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7C6975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7C6975" w:rsidRPr="0022631D" w:rsidRDefault="007C6975" w:rsidP="007C69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7C6975" w:rsidRPr="0022631D" w:rsidRDefault="007C6975" w:rsidP="007C69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7C6975" w:rsidRPr="0022631D" w:rsidRDefault="007C6975" w:rsidP="007C6975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7C6975" w:rsidRPr="0022631D" w:rsidRDefault="007C6975" w:rsidP="007C6975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025" w:type="dxa"/>
            <w:gridSpan w:val="26"/>
          </w:tcPr>
          <w:p w14:paraId="77BA7C99" w14:textId="77777777" w:rsidR="007C6975" w:rsidRPr="009451B5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7C6975" w:rsidRPr="006F2779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6975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7C6975" w:rsidRPr="009451B5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7C6975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694260CB" w:rsidR="007C6975" w:rsidRPr="0035521A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7C6975" w:rsidRPr="00060761" w14:paraId="22A7AA88" w14:textId="77777777" w:rsidTr="004A3D85">
        <w:trPr>
          <w:gridAfter w:val="1"/>
          <w:wAfter w:w="25" w:type="dxa"/>
          <w:trHeight w:val="139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7C6975" w:rsidRPr="0035521A" w:rsidRDefault="007C6975" w:rsidP="007C69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96B9" w14:textId="7FC18CEE" w:rsidR="007C6975" w:rsidRPr="0035521A" w:rsidRDefault="0057236B" w:rsidP="007C69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7236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«ՍՔԱՅՍԹԱՐ» ՍՊԸ                              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F133" w14:textId="142F8431" w:rsidR="007C6975" w:rsidRPr="0035521A" w:rsidRDefault="0057236B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126</w:t>
            </w:r>
            <w:r w:rsidR="00376D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1FE" w14:textId="56EEDF81" w:rsidR="007C6975" w:rsidRPr="0035521A" w:rsidRDefault="0057236B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FD7" w14:textId="5109A84B" w:rsidR="007C6975" w:rsidRPr="0035521A" w:rsidRDefault="0057236B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126</w:t>
            </w:r>
            <w:r w:rsidR="00376D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,000</w:t>
            </w:r>
          </w:p>
        </w:tc>
      </w:tr>
      <w:tr w:rsidR="00C8657D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C8657D" w:rsidRPr="009014FC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C8657D" w:rsidRPr="007116D2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C8657D" w:rsidRPr="008D2A5E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C8657D" w:rsidRPr="007116D2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C8657D" w:rsidRPr="003031B0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C8657D" w:rsidRPr="003031B0" w:rsidRDefault="00C8657D" w:rsidP="00C865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 участника</w:t>
            </w:r>
          </w:p>
        </w:tc>
        <w:tc>
          <w:tcPr>
            <w:tcW w:w="10635" w:type="dxa"/>
            <w:gridSpan w:val="29"/>
          </w:tcPr>
          <w:p w14:paraId="1071F73F" w14:textId="7A1521D1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C8657D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C8657D" w:rsidRPr="009451B5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C8657D" w:rsidRPr="008D2A5E" w:rsidRDefault="00C8657D" w:rsidP="00C865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C8657D" w:rsidRPr="009451B5" w:rsidRDefault="00C8657D" w:rsidP="00C865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C8657D" w:rsidRPr="009451B5" w:rsidRDefault="00C8657D" w:rsidP="00C865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C8657D" w:rsidRPr="003031B0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 предложение</w:t>
            </w:r>
          </w:p>
        </w:tc>
      </w:tr>
      <w:tr w:rsidR="00C8657D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657D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657D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2566" w:type="dxa"/>
            <w:gridSpan w:val="8"/>
          </w:tcPr>
          <w:p w14:paraId="1A1E39FC" w14:textId="77777777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20A0B1B5" w14:textId="76E18622" w:rsidR="00C8657D" w:rsidRPr="00506EE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C8657D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C8657D" w:rsidRPr="00506EE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657D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C8657D" w:rsidRPr="009451B5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0B5AA00E" w:rsidR="00C8657D" w:rsidRDefault="007A6E43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65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C8657D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8657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8657D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8657D" w:rsidRPr="007116D2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 ожидания</w:t>
            </w:r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C8657D" w:rsidRPr="001B011A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C8657D" w:rsidRPr="001B011A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C8657D" w:rsidRPr="007116D2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3C3109B6" w:rsidR="00C8657D" w:rsidRPr="00400787" w:rsidRDefault="00C8657D" w:rsidP="00C865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068" w:type="dxa"/>
            <w:gridSpan w:val="7"/>
            <w:vAlign w:val="center"/>
          </w:tcPr>
          <w:p w14:paraId="373C3B2F" w14:textId="7DB8F8E3" w:rsidR="00C8657D" w:rsidRPr="00EE7F11" w:rsidRDefault="00C8657D" w:rsidP="00C865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8657D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68C6A020" w:rsidR="00C8657D" w:rsidRDefault="007A6E43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8657D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C8657D" w:rsidRPr="00EE7F11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46424952" w:rsidR="00C8657D" w:rsidRPr="00894E4C" w:rsidRDefault="007A6E43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8657D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C8657D" w:rsidRPr="00EE7F11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5C8562C3" w:rsidR="00C8657D" w:rsidRPr="00894E4C" w:rsidRDefault="007A6E43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8657D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657D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Отобранный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участник</w:t>
            </w:r>
          </w:p>
        </w:tc>
        <w:tc>
          <w:tcPr>
            <w:tcW w:w="12301" w:type="dxa"/>
            <w:gridSpan w:val="34"/>
          </w:tcPr>
          <w:p w14:paraId="6693E5F9" w14:textId="09FC37BE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C8657D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Պայմանագրի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договора</w:t>
            </w:r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Дата заключения</w:t>
            </w:r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C8657D" w:rsidRPr="001B011A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C8657D" w:rsidRPr="001B011A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C8657D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 РА</w:t>
            </w:r>
          </w:p>
        </w:tc>
      </w:tr>
      <w:tr w:rsidR="00C8657D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C8657D" w:rsidRPr="008D2A5E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C8657D" w:rsidRPr="001B011A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8657D" w:rsidRPr="00DF7728" w14:paraId="1AEF3774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1C0B5CBE" w:rsidR="00C8657D" w:rsidRPr="00C8657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D4E" w14:textId="29FFF970" w:rsidR="00C8657D" w:rsidRPr="00DF7728" w:rsidRDefault="00F630EA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F630EA">
              <w:rPr>
                <w:rFonts w:ascii="GHEA Grapalat" w:hAnsi="GHEA Grapalat"/>
              </w:rPr>
              <w:t xml:space="preserve">«ՍՔԱՅՍԹԱՐ» ՍՊԸ                                </w:t>
            </w:r>
          </w:p>
        </w:tc>
        <w:tc>
          <w:tcPr>
            <w:tcW w:w="1637" w:type="dxa"/>
            <w:gridSpan w:val="4"/>
          </w:tcPr>
          <w:p w14:paraId="3B046BCC" w14:textId="29FFB41E" w:rsidR="00C8657D" w:rsidRPr="00597AAF" w:rsidRDefault="00503BE4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03BE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ԳՀԱԶ-ՄԱԾՁԲ-26Դ/</w:t>
            </w:r>
            <w:r w:rsidR="00EC7DC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20" w:type="dxa"/>
            <w:gridSpan w:val="7"/>
          </w:tcPr>
          <w:p w14:paraId="33A84F5F" w14:textId="708B9DF7" w:rsidR="00C8657D" w:rsidRDefault="007A6E43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C865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8657D"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5AF9B651" w14:textId="32905679" w:rsidR="00C8657D" w:rsidRPr="00AE1B3C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865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Պայմանագիրը ուժի մեջ մտնելուց մինչև 10.12.2026թ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C8657D" w:rsidRPr="00DF7728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2BCD8D8F" w:rsidR="00C8657D" w:rsidRPr="00520EA4" w:rsidRDefault="00EC7DC3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126</w:t>
            </w:r>
            <w:r w:rsidR="00DE068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,000</w:t>
            </w:r>
          </w:p>
        </w:tc>
        <w:tc>
          <w:tcPr>
            <w:tcW w:w="2982" w:type="dxa"/>
            <w:gridSpan w:val="3"/>
          </w:tcPr>
          <w:p w14:paraId="29D2E6DB" w14:textId="1AB4FB4A" w:rsidR="00C8657D" w:rsidRPr="00520EA4" w:rsidRDefault="00EC7DC3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126</w:t>
            </w:r>
            <w:r w:rsidR="00DE068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,000</w:t>
            </w:r>
          </w:p>
        </w:tc>
      </w:tr>
      <w:tr w:rsidR="00C8657D" w:rsidRPr="007116D2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C8657D" w:rsidRPr="008D2A5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C8657D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C8657D" w:rsidRPr="00EE7F11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4187" w:type="dxa"/>
            <w:gridSpan w:val="15"/>
          </w:tcPr>
          <w:p w14:paraId="66150E72" w14:textId="20273B7C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Эл. почта</w:t>
            </w:r>
          </w:p>
        </w:tc>
        <w:tc>
          <w:tcPr>
            <w:tcW w:w="3081" w:type="dxa"/>
            <w:gridSpan w:val="9"/>
            <w:vAlign w:val="center"/>
          </w:tcPr>
          <w:p w14:paraId="5EBC7915" w14:textId="00F030F6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3017" w:type="dxa"/>
            <w:gridSpan w:val="4"/>
            <w:vAlign w:val="center"/>
          </w:tcPr>
          <w:p w14:paraId="7A656D31" w14:textId="77777777" w:rsidR="00C8657D" w:rsidRPr="0099503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Номер и серия паспорта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8657D" w:rsidRPr="00400787" w14:paraId="18CC173D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636011D7" w:rsidR="00C8657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CB3" w14:textId="75544069" w:rsidR="00C8657D" w:rsidRPr="00BA3441" w:rsidRDefault="00F630EA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F630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«ՍՔԱՅՍԹԱՐ» ՍՊԸ                                </w:t>
            </w:r>
          </w:p>
        </w:tc>
        <w:tc>
          <w:tcPr>
            <w:tcW w:w="4187" w:type="dxa"/>
            <w:gridSpan w:val="15"/>
          </w:tcPr>
          <w:p w14:paraId="6402165D" w14:textId="0A5FF5F4" w:rsidR="00C8657D" w:rsidRPr="008710E2" w:rsidRDefault="00D04461" w:rsidP="00C8657D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044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Ք.Աբովյան, Հանրապետության պող., 13/1 շենք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4286A606" w:rsidR="00C8657D" w:rsidRPr="00400787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 w:rsidR="00C7747E" w:rsidRPr="00C7747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096-02-50-52</w:t>
            </w: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email: </w:t>
            </w:r>
            <w:r w:rsidR="006F3FFF" w:rsidRPr="006F3FF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andoskystar@mail.ru</w:t>
            </w:r>
          </w:p>
        </w:tc>
        <w:tc>
          <w:tcPr>
            <w:tcW w:w="3081" w:type="dxa"/>
            <w:gridSpan w:val="9"/>
            <w:vAlign w:val="center"/>
          </w:tcPr>
          <w:p w14:paraId="1D84050E" w14:textId="77777777" w:rsidR="004B4D87" w:rsidRPr="004B4D87" w:rsidRDefault="004B4D87" w:rsidP="004B4D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B4D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«Ակբա Բանկ» ԲԲԸ                                        </w:t>
            </w:r>
          </w:p>
          <w:p w14:paraId="69AADEDF" w14:textId="6CC29C5C" w:rsidR="00C8657D" w:rsidRPr="00400787" w:rsidRDefault="004B4D87" w:rsidP="004B4D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B4D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Հ/Հ 220113331080700</w:t>
            </w:r>
          </w:p>
        </w:tc>
        <w:tc>
          <w:tcPr>
            <w:tcW w:w="3017" w:type="dxa"/>
            <w:gridSpan w:val="4"/>
            <w:vAlign w:val="center"/>
          </w:tcPr>
          <w:p w14:paraId="5B34EF45" w14:textId="69B9ADBA" w:rsidR="00C8657D" w:rsidRPr="00400787" w:rsidRDefault="007573B4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3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03528461</w:t>
            </w:r>
          </w:p>
        </w:tc>
      </w:tr>
      <w:tr w:rsidR="00C8657D" w:rsidRPr="00400787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C8657D" w:rsidRPr="009F555A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7116D2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10345" w:type="dxa"/>
            <w:gridSpan w:val="28"/>
          </w:tcPr>
          <w:p w14:paraId="566CEE9F" w14:textId="2E21A0B2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C8657D" w:rsidRPr="007116D2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8657D" w:rsidRPr="007116D2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C8657D" w:rsidRPr="008A79A2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C8657D" w:rsidRPr="008A79A2" w:rsidRDefault="00C8657D" w:rsidP="00C865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C8657D" w:rsidRPr="008A79A2" w:rsidRDefault="00C8657D" w:rsidP="00C865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C8657D" w:rsidRPr="008A79A2" w:rsidRDefault="00C8657D" w:rsidP="00C865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C8657D" w:rsidRPr="008A79A2" w:rsidRDefault="00C8657D" w:rsidP="00C865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C8657D" w:rsidRPr="008A79A2" w:rsidRDefault="00C8657D" w:rsidP="00C865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C8657D" w:rsidRPr="008A79A2" w:rsidRDefault="00C8657D" w:rsidP="00C865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C8657D" w:rsidRPr="008A79A2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514DE6AA" w:rsidR="00C8657D" w:rsidRPr="008A79A2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8" w:history="1">
              <w:r w:rsidRPr="00C8657D">
                <w:rPr>
                  <w:rStyle w:val="Hyperlink"/>
                  <w:lang w:val="hy-AM"/>
                </w:rPr>
                <w:t>narine.barseghyan1978@mail.ru</w:t>
              </w:r>
            </w:hyperlink>
            <w:r w:rsidRPr="00C8657D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а. количество уполномоченных физических лиц не может превысить двух,</w:t>
            </w:r>
          </w:p>
          <w:p w14:paraId="59D7EDF4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C8657D" w:rsidRPr="00F95F36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C8657D" w:rsidRPr="007116D2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7116D2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C8657D" w:rsidRPr="0099503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C8657D" w:rsidRPr="0099503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C8657D" w:rsidRPr="007116D2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8657D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8657D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C8657D" w:rsidRPr="00E56328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C8657D" w:rsidRPr="008D2A5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8657D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8657D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C8657D" w:rsidRPr="0022631D" w:rsidRDefault="00C8657D" w:rsidP="00C865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8657D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C8657D" w:rsidRPr="0022631D" w:rsidRDefault="00C8657D" w:rsidP="00C865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C8657D" w:rsidRPr="0022631D" w:rsidRDefault="00C8657D" w:rsidP="00C865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C8657D" w:rsidRPr="0022631D" w:rsidRDefault="00C8657D" w:rsidP="00C865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эл. почты</w:t>
            </w:r>
          </w:p>
        </w:tc>
      </w:tr>
      <w:tr w:rsidR="00C8657D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1160E497" w14:textId="36E9861C" w:rsidR="001021B0" w:rsidRPr="001A1999" w:rsidRDefault="007C6975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7C6975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«Գեղարդի հովտի ագրոտուրիզմի զարգացման»  ՀԿ</w:t>
      </w: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CD8F" w14:textId="77777777" w:rsidR="001C4BB9" w:rsidRDefault="001C4BB9" w:rsidP="0022631D">
      <w:pPr>
        <w:spacing w:before="0" w:after="0"/>
      </w:pPr>
      <w:r>
        <w:separator/>
      </w:r>
    </w:p>
  </w:endnote>
  <w:endnote w:type="continuationSeparator" w:id="0">
    <w:p w14:paraId="732BA979" w14:textId="77777777" w:rsidR="001C4BB9" w:rsidRDefault="001C4B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C518" w14:textId="77777777" w:rsidR="001C4BB9" w:rsidRDefault="001C4BB9" w:rsidP="0022631D">
      <w:pPr>
        <w:spacing w:before="0" w:after="0"/>
      </w:pPr>
      <w:r>
        <w:separator/>
      </w:r>
    </w:p>
  </w:footnote>
  <w:footnote w:type="continuationSeparator" w:id="0">
    <w:p w14:paraId="185892CD" w14:textId="77777777" w:rsidR="001C4BB9" w:rsidRDefault="001C4BB9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C6975" w:rsidRPr="002D0BF6" w:rsidRDefault="007C69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7C6975" w:rsidRDefault="007C6975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7C6975" w:rsidRPr="002D0BF6" w:rsidRDefault="007C697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7C6975" w:rsidRDefault="007C6975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C8657D" w:rsidRPr="00871366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C8657D" w:rsidRDefault="00C8657D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C8657D" w:rsidRPr="002D0BF6" w:rsidRDefault="00C8657D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C8657D" w:rsidRDefault="00C8657D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C8657D" w:rsidRPr="0078682E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8657D" w:rsidRPr="0078682E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8657D" w:rsidRPr="00005B9C" w:rsidRDefault="00C8657D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C8657D" w:rsidRPr="0078682E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C8657D" w:rsidRPr="0078682E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C8657D" w:rsidRPr="00005B9C" w:rsidRDefault="00C8657D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48715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57"/>
    <w:rsid w:val="00001851"/>
    <w:rsid w:val="000106E1"/>
    <w:rsid w:val="00012170"/>
    <w:rsid w:val="00021441"/>
    <w:rsid w:val="00022C1F"/>
    <w:rsid w:val="00024591"/>
    <w:rsid w:val="0002614A"/>
    <w:rsid w:val="00042F43"/>
    <w:rsid w:val="00043639"/>
    <w:rsid w:val="00044EA8"/>
    <w:rsid w:val="00046CCF"/>
    <w:rsid w:val="00051ECE"/>
    <w:rsid w:val="000577B8"/>
    <w:rsid w:val="00060761"/>
    <w:rsid w:val="00066CC0"/>
    <w:rsid w:val="0007090E"/>
    <w:rsid w:val="00071B58"/>
    <w:rsid w:val="00073D66"/>
    <w:rsid w:val="00081616"/>
    <w:rsid w:val="000B0199"/>
    <w:rsid w:val="000C45C8"/>
    <w:rsid w:val="000C4EB4"/>
    <w:rsid w:val="000D3D72"/>
    <w:rsid w:val="000E4FF1"/>
    <w:rsid w:val="000F376D"/>
    <w:rsid w:val="000F6879"/>
    <w:rsid w:val="001021B0"/>
    <w:rsid w:val="001030F0"/>
    <w:rsid w:val="00126A0D"/>
    <w:rsid w:val="00135E68"/>
    <w:rsid w:val="001579E7"/>
    <w:rsid w:val="00160983"/>
    <w:rsid w:val="00162580"/>
    <w:rsid w:val="0018422F"/>
    <w:rsid w:val="00186DB0"/>
    <w:rsid w:val="001936A0"/>
    <w:rsid w:val="00193EB3"/>
    <w:rsid w:val="001A1999"/>
    <w:rsid w:val="001A1DFD"/>
    <w:rsid w:val="001B011A"/>
    <w:rsid w:val="001B18AC"/>
    <w:rsid w:val="001C1BE1"/>
    <w:rsid w:val="001C4BB9"/>
    <w:rsid w:val="001E0091"/>
    <w:rsid w:val="001E7C9C"/>
    <w:rsid w:val="001F3A43"/>
    <w:rsid w:val="00222940"/>
    <w:rsid w:val="0022631D"/>
    <w:rsid w:val="00241B5C"/>
    <w:rsid w:val="00251E9C"/>
    <w:rsid w:val="00254A06"/>
    <w:rsid w:val="00275DD2"/>
    <w:rsid w:val="00295B92"/>
    <w:rsid w:val="00296930"/>
    <w:rsid w:val="002C60A9"/>
    <w:rsid w:val="002C7E50"/>
    <w:rsid w:val="002E10C0"/>
    <w:rsid w:val="002E4E6F"/>
    <w:rsid w:val="002F16CC"/>
    <w:rsid w:val="002F1FEB"/>
    <w:rsid w:val="002F7BF0"/>
    <w:rsid w:val="003031B0"/>
    <w:rsid w:val="00322487"/>
    <w:rsid w:val="00326E43"/>
    <w:rsid w:val="003324B8"/>
    <w:rsid w:val="00340823"/>
    <w:rsid w:val="00350271"/>
    <w:rsid w:val="0035266A"/>
    <w:rsid w:val="00353E84"/>
    <w:rsid w:val="00353EDE"/>
    <w:rsid w:val="0035521A"/>
    <w:rsid w:val="00356A3B"/>
    <w:rsid w:val="00367DB1"/>
    <w:rsid w:val="00371B1D"/>
    <w:rsid w:val="00375E5F"/>
    <w:rsid w:val="00376DAE"/>
    <w:rsid w:val="0037727A"/>
    <w:rsid w:val="0038000A"/>
    <w:rsid w:val="00384B4E"/>
    <w:rsid w:val="003B2758"/>
    <w:rsid w:val="003B64B6"/>
    <w:rsid w:val="003C0F44"/>
    <w:rsid w:val="003C365D"/>
    <w:rsid w:val="003E3A2F"/>
    <w:rsid w:val="003E3D40"/>
    <w:rsid w:val="003E6978"/>
    <w:rsid w:val="003F28EF"/>
    <w:rsid w:val="00400787"/>
    <w:rsid w:val="0040222E"/>
    <w:rsid w:val="004046A6"/>
    <w:rsid w:val="00420F5A"/>
    <w:rsid w:val="00426DD4"/>
    <w:rsid w:val="0043394A"/>
    <w:rsid w:val="00433E3C"/>
    <w:rsid w:val="004479EA"/>
    <w:rsid w:val="00457F06"/>
    <w:rsid w:val="00472069"/>
    <w:rsid w:val="004740EB"/>
    <w:rsid w:val="00474C2F"/>
    <w:rsid w:val="004764CD"/>
    <w:rsid w:val="004875E0"/>
    <w:rsid w:val="00490DDE"/>
    <w:rsid w:val="00495964"/>
    <w:rsid w:val="004A3D85"/>
    <w:rsid w:val="004A771F"/>
    <w:rsid w:val="004B4953"/>
    <w:rsid w:val="004B4D87"/>
    <w:rsid w:val="004D078F"/>
    <w:rsid w:val="004D68BB"/>
    <w:rsid w:val="004E06B2"/>
    <w:rsid w:val="004E376E"/>
    <w:rsid w:val="00503BCC"/>
    <w:rsid w:val="00503BE4"/>
    <w:rsid w:val="00506EED"/>
    <w:rsid w:val="00514FDA"/>
    <w:rsid w:val="00516E9E"/>
    <w:rsid w:val="00520EA4"/>
    <w:rsid w:val="00531B05"/>
    <w:rsid w:val="00540256"/>
    <w:rsid w:val="00543852"/>
    <w:rsid w:val="00546023"/>
    <w:rsid w:val="00551D34"/>
    <w:rsid w:val="00552C6A"/>
    <w:rsid w:val="00566CE1"/>
    <w:rsid w:val="0057053D"/>
    <w:rsid w:val="0057236B"/>
    <w:rsid w:val="005737F9"/>
    <w:rsid w:val="00583B67"/>
    <w:rsid w:val="00594353"/>
    <w:rsid w:val="005948A8"/>
    <w:rsid w:val="00597AAF"/>
    <w:rsid w:val="005A36F1"/>
    <w:rsid w:val="005B1CC9"/>
    <w:rsid w:val="005C5E5B"/>
    <w:rsid w:val="005D5FBD"/>
    <w:rsid w:val="005E066F"/>
    <w:rsid w:val="00605098"/>
    <w:rsid w:val="00607C9A"/>
    <w:rsid w:val="006147CC"/>
    <w:rsid w:val="0063042D"/>
    <w:rsid w:val="006318B3"/>
    <w:rsid w:val="006445F1"/>
    <w:rsid w:val="00644ADB"/>
    <w:rsid w:val="00646760"/>
    <w:rsid w:val="006507D0"/>
    <w:rsid w:val="00665924"/>
    <w:rsid w:val="0068519D"/>
    <w:rsid w:val="0068736B"/>
    <w:rsid w:val="00690ECB"/>
    <w:rsid w:val="00694642"/>
    <w:rsid w:val="006A1F55"/>
    <w:rsid w:val="006A38B4"/>
    <w:rsid w:val="006B2E21"/>
    <w:rsid w:val="006B69FC"/>
    <w:rsid w:val="006C0266"/>
    <w:rsid w:val="006C0E1F"/>
    <w:rsid w:val="006E0D92"/>
    <w:rsid w:val="006E1997"/>
    <w:rsid w:val="006E1A83"/>
    <w:rsid w:val="006F2779"/>
    <w:rsid w:val="006F35DB"/>
    <w:rsid w:val="006F3FFF"/>
    <w:rsid w:val="00700974"/>
    <w:rsid w:val="007057D4"/>
    <w:rsid w:val="007060FC"/>
    <w:rsid w:val="00711035"/>
    <w:rsid w:val="007116D2"/>
    <w:rsid w:val="00722494"/>
    <w:rsid w:val="007573B4"/>
    <w:rsid w:val="00757D5B"/>
    <w:rsid w:val="00770320"/>
    <w:rsid w:val="00771951"/>
    <w:rsid w:val="007732E7"/>
    <w:rsid w:val="00773D3F"/>
    <w:rsid w:val="00773EB0"/>
    <w:rsid w:val="007772BE"/>
    <w:rsid w:val="00781CFA"/>
    <w:rsid w:val="0078682E"/>
    <w:rsid w:val="0079748C"/>
    <w:rsid w:val="007A40D2"/>
    <w:rsid w:val="007A6E43"/>
    <w:rsid w:val="007A7CFA"/>
    <w:rsid w:val="007C2C4A"/>
    <w:rsid w:val="007C4782"/>
    <w:rsid w:val="007C6975"/>
    <w:rsid w:val="007E7FF5"/>
    <w:rsid w:val="00804CFE"/>
    <w:rsid w:val="0081420B"/>
    <w:rsid w:val="00840A74"/>
    <w:rsid w:val="00845F91"/>
    <w:rsid w:val="008462FC"/>
    <w:rsid w:val="00847BAE"/>
    <w:rsid w:val="00847C59"/>
    <w:rsid w:val="008710E2"/>
    <w:rsid w:val="008A011D"/>
    <w:rsid w:val="008A79A2"/>
    <w:rsid w:val="008A79CE"/>
    <w:rsid w:val="008B7D4C"/>
    <w:rsid w:val="008C4E62"/>
    <w:rsid w:val="008D181A"/>
    <w:rsid w:val="008D2A5E"/>
    <w:rsid w:val="008D5DF0"/>
    <w:rsid w:val="008E493A"/>
    <w:rsid w:val="009014FC"/>
    <w:rsid w:val="00916017"/>
    <w:rsid w:val="00934EBA"/>
    <w:rsid w:val="00944EBB"/>
    <w:rsid w:val="009451B5"/>
    <w:rsid w:val="00956A04"/>
    <w:rsid w:val="009667A6"/>
    <w:rsid w:val="0099232A"/>
    <w:rsid w:val="0099503E"/>
    <w:rsid w:val="009B2A1C"/>
    <w:rsid w:val="009B5098"/>
    <w:rsid w:val="009C1B7D"/>
    <w:rsid w:val="009C35E4"/>
    <w:rsid w:val="009C582B"/>
    <w:rsid w:val="009C5E0F"/>
    <w:rsid w:val="009D3BE8"/>
    <w:rsid w:val="009D7072"/>
    <w:rsid w:val="009E75FF"/>
    <w:rsid w:val="009F555A"/>
    <w:rsid w:val="00A04D47"/>
    <w:rsid w:val="00A14697"/>
    <w:rsid w:val="00A26B82"/>
    <w:rsid w:val="00A30248"/>
    <w:rsid w:val="00A306F5"/>
    <w:rsid w:val="00A31820"/>
    <w:rsid w:val="00A33BE1"/>
    <w:rsid w:val="00A4038C"/>
    <w:rsid w:val="00A42A66"/>
    <w:rsid w:val="00A43077"/>
    <w:rsid w:val="00A55A20"/>
    <w:rsid w:val="00A808CB"/>
    <w:rsid w:val="00AA32E4"/>
    <w:rsid w:val="00AB118D"/>
    <w:rsid w:val="00AB2173"/>
    <w:rsid w:val="00AD019A"/>
    <w:rsid w:val="00AD07B9"/>
    <w:rsid w:val="00AD2E57"/>
    <w:rsid w:val="00AD59DC"/>
    <w:rsid w:val="00AE1B3C"/>
    <w:rsid w:val="00AE39E1"/>
    <w:rsid w:val="00B15428"/>
    <w:rsid w:val="00B1739B"/>
    <w:rsid w:val="00B512FB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30C78"/>
    <w:rsid w:val="00C42666"/>
    <w:rsid w:val="00C61376"/>
    <w:rsid w:val="00C7747E"/>
    <w:rsid w:val="00C84DF7"/>
    <w:rsid w:val="00C8657D"/>
    <w:rsid w:val="00C90EB0"/>
    <w:rsid w:val="00C96337"/>
    <w:rsid w:val="00C96BED"/>
    <w:rsid w:val="00CB2815"/>
    <w:rsid w:val="00CB44D2"/>
    <w:rsid w:val="00CC1F23"/>
    <w:rsid w:val="00CC7165"/>
    <w:rsid w:val="00CE2680"/>
    <w:rsid w:val="00CF1F70"/>
    <w:rsid w:val="00D04461"/>
    <w:rsid w:val="00D12501"/>
    <w:rsid w:val="00D21CF5"/>
    <w:rsid w:val="00D24793"/>
    <w:rsid w:val="00D309BC"/>
    <w:rsid w:val="00D34C4B"/>
    <w:rsid w:val="00D350DE"/>
    <w:rsid w:val="00D36189"/>
    <w:rsid w:val="00D37208"/>
    <w:rsid w:val="00D437F7"/>
    <w:rsid w:val="00D50D3C"/>
    <w:rsid w:val="00D51824"/>
    <w:rsid w:val="00D70D02"/>
    <w:rsid w:val="00D80690"/>
    <w:rsid w:val="00D80C64"/>
    <w:rsid w:val="00D82680"/>
    <w:rsid w:val="00D90E80"/>
    <w:rsid w:val="00D95391"/>
    <w:rsid w:val="00DA3AF7"/>
    <w:rsid w:val="00DB2F3A"/>
    <w:rsid w:val="00DD524E"/>
    <w:rsid w:val="00DE068D"/>
    <w:rsid w:val="00DE06F1"/>
    <w:rsid w:val="00DE2EA6"/>
    <w:rsid w:val="00DF08F6"/>
    <w:rsid w:val="00DF7728"/>
    <w:rsid w:val="00E06B7E"/>
    <w:rsid w:val="00E243EA"/>
    <w:rsid w:val="00E33A25"/>
    <w:rsid w:val="00E36BBD"/>
    <w:rsid w:val="00E4188B"/>
    <w:rsid w:val="00E466D5"/>
    <w:rsid w:val="00E54C4D"/>
    <w:rsid w:val="00E5551A"/>
    <w:rsid w:val="00E56328"/>
    <w:rsid w:val="00E67241"/>
    <w:rsid w:val="00E67AFA"/>
    <w:rsid w:val="00E81A00"/>
    <w:rsid w:val="00E93D38"/>
    <w:rsid w:val="00EA01A2"/>
    <w:rsid w:val="00EA2F96"/>
    <w:rsid w:val="00EA568C"/>
    <w:rsid w:val="00EA767F"/>
    <w:rsid w:val="00EB002A"/>
    <w:rsid w:val="00EB59EE"/>
    <w:rsid w:val="00EC08D2"/>
    <w:rsid w:val="00EC1686"/>
    <w:rsid w:val="00EC70A5"/>
    <w:rsid w:val="00EC7D99"/>
    <w:rsid w:val="00EC7DC3"/>
    <w:rsid w:val="00ED4B18"/>
    <w:rsid w:val="00EE0BC7"/>
    <w:rsid w:val="00EE28D2"/>
    <w:rsid w:val="00EE7F11"/>
    <w:rsid w:val="00EF16D0"/>
    <w:rsid w:val="00EF52D2"/>
    <w:rsid w:val="00F10AFE"/>
    <w:rsid w:val="00F20A33"/>
    <w:rsid w:val="00F22708"/>
    <w:rsid w:val="00F31004"/>
    <w:rsid w:val="00F31907"/>
    <w:rsid w:val="00F3778E"/>
    <w:rsid w:val="00F42D43"/>
    <w:rsid w:val="00F630EA"/>
    <w:rsid w:val="00F64167"/>
    <w:rsid w:val="00F6500A"/>
    <w:rsid w:val="00F6673B"/>
    <w:rsid w:val="00F67263"/>
    <w:rsid w:val="00F77AAD"/>
    <w:rsid w:val="00F916C4"/>
    <w:rsid w:val="00F94A7F"/>
    <w:rsid w:val="00F95F36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ne.barseghyan197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</cp:lastModifiedBy>
  <cp:revision>55</cp:revision>
  <cp:lastPrinted>2021-04-06T07:47:00Z</cp:lastPrinted>
  <dcterms:created xsi:type="dcterms:W3CDTF">2026-06-17T08:14:00Z</dcterms:created>
  <dcterms:modified xsi:type="dcterms:W3CDTF">2026-06-19T05:18:00Z</dcterms:modified>
</cp:coreProperties>
</file>