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4F7EEB"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4F7EEB"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4F7EEB"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4F7EEB"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4F7EEB"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4F7EE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4F7EEB"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4F7EEB"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4F7EEB"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4F7EE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4F7EEB"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4F7EEB"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4F7EEB"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4F7EEB"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4F7EEB"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4F7EEB"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4F7EEB"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4F7EEB"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4F7EEB"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4F7EEB"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4F7EEB"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4F7EEB"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4F7EEB"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4F7EEB"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4F7EEB"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4F7EEB"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4F7EEB"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4F7EEB"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4F7EEB"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4F7EEB"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4F7EEB"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4F7EEB"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4F7EEB"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4F7EEB"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4F7EEB"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4F7EEB"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4F7EEB"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4F7EEB"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4F7EEB"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4F7EEB"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4F7EEB"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4F7EEB"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4F7EEB"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4F7EEB"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4F7EEB"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4F7EEB"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4F7EEB"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4F7EEB"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4F7EEB"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4F7EEB"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4F7EEB"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4F7EEB"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4F7EEB"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4F7EEB"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4F7EEB"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4F7EEB"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4F7EEB"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4F7EEB"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4F7EEB"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4F7EEB"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4F7EEB"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4F7EEB"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DB56C3">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870712" w:rsidRPr="004F7EEB" w:rsidTr="009124CC">
        <w:tc>
          <w:tcPr>
            <w:tcW w:w="614" w:type="dxa"/>
          </w:tcPr>
          <w:p w:rsidR="00870712" w:rsidRDefault="00870712" w:rsidP="00870712">
            <w:pPr>
              <w:ind w:left="-829" w:firstLine="829"/>
              <w:jc w:val="center"/>
              <w:rPr>
                <w:lang w:val="hy-AM"/>
              </w:rPr>
            </w:pPr>
            <w:r>
              <w:rPr>
                <w:lang w:val="hy-AM"/>
              </w:rPr>
              <w:lastRenderedPageBreak/>
              <w:t>63</w:t>
            </w:r>
          </w:p>
        </w:tc>
        <w:tc>
          <w:tcPr>
            <w:tcW w:w="4357" w:type="dxa"/>
          </w:tcPr>
          <w:p w:rsidR="00870712" w:rsidRPr="00E44C20" w:rsidRDefault="00870712" w:rsidP="00870712">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193" w:type="dxa"/>
            <w:gridSpan w:val="3"/>
          </w:tcPr>
          <w:p w:rsidR="00870712" w:rsidRPr="001B2EC7" w:rsidRDefault="00870712" w:rsidP="00870712">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կանխավճարի չափի կամ ընտրված մասնակցի առաջարկած գնի ավելացմանը։ </w:t>
            </w:r>
          </w:p>
          <w:p w:rsidR="00870712" w:rsidRPr="00873B62" w:rsidRDefault="00870712" w:rsidP="00DB56C3">
            <w:pPr>
              <w:tabs>
                <w:tab w:val="left" w:pos="270"/>
                <w:tab w:val="left" w:pos="426"/>
                <w:tab w:val="left" w:pos="540"/>
              </w:tabs>
              <w:spacing w:line="276" w:lineRule="auto"/>
              <w:ind w:right="-55"/>
              <w:contextualSpacing/>
              <w:jc w:val="both"/>
              <w:rPr>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tc>
      </w:tr>
      <w:tr w:rsidR="00924A00" w:rsidRPr="004F7EEB" w:rsidTr="009124CC">
        <w:tc>
          <w:tcPr>
            <w:tcW w:w="614" w:type="dxa"/>
          </w:tcPr>
          <w:p w:rsidR="00924A00" w:rsidRDefault="00924A00" w:rsidP="00924A00">
            <w:pPr>
              <w:ind w:left="-829" w:firstLine="829"/>
              <w:jc w:val="center"/>
              <w:rPr>
                <w:lang w:val="hy-AM"/>
              </w:rPr>
            </w:pPr>
            <w:r>
              <w:rPr>
                <w:lang w:val="hy-AM"/>
              </w:rPr>
              <w:t>64</w:t>
            </w:r>
          </w:p>
        </w:tc>
        <w:tc>
          <w:tcPr>
            <w:tcW w:w="4357" w:type="dxa"/>
          </w:tcPr>
          <w:p w:rsidR="00924A00" w:rsidRPr="00873B62" w:rsidRDefault="00924A00" w:rsidP="00924A0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193" w:type="dxa"/>
            <w:gridSpan w:val="3"/>
          </w:tcPr>
          <w:p w:rsidR="00924A00" w:rsidRPr="001B2EC7" w:rsidRDefault="00924A00" w:rsidP="00924A00">
            <w:pPr>
              <w:spacing w:line="276" w:lineRule="auto"/>
              <w:ind w:firstLine="567"/>
              <w:jc w:val="both"/>
              <w:rPr>
                <w:szCs w:val="24"/>
                <w:lang w:val="hy-AM"/>
              </w:rPr>
            </w:pPr>
            <w:r w:rsidRPr="001B2EC7">
              <w:rPr>
                <w:szCs w:val="24"/>
                <w:lang w:val="hy-AM"/>
              </w:rPr>
              <w:t xml:space="preserve">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w:t>
            </w:r>
            <w:r w:rsidRPr="001B2EC7">
              <w:rPr>
                <w:szCs w:val="24"/>
                <w:lang w:val="hy-AM"/>
              </w:rPr>
              <w:lastRenderedPageBreak/>
              <w:t>նվիրառուն պետք է օգտագործի դրա նշանակությանը համապատասխան:</w:t>
            </w:r>
          </w:p>
          <w:p w:rsidR="00924A00" w:rsidRPr="00873B62" w:rsidRDefault="00924A00" w:rsidP="00924A00">
            <w:pPr>
              <w:tabs>
                <w:tab w:val="left" w:pos="9829"/>
              </w:tabs>
              <w:spacing w:line="276" w:lineRule="auto"/>
              <w:ind w:firstLine="567"/>
              <w:jc w:val="both"/>
              <w:rPr>
                <w:lang w:val="hy-AM"/>
              </w:rPr>
            </w:pPr>
            <w:r w:rsidRPr="001B2EC7">
              <w:rPr>
                <w:szCs w:val="24"/>
                <w:lang w:val="hy-AM"/>
              </w:rPr>
              <w:t>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կատարվի այդ պայմանագրով նախատեսված պայմաններով:</w:t>
            </w:r>
          </w:p>
        </w:tc>
      </w:tr>
      <w:tr w:rsidR="0089596E" w:rsidRPr="004F7EEB" w:rsidTr="009124CC">
        <w:tc>
          <w:tcPr>
            <w:tcW w:w="614" w:type="dxa"/>
          </w:tcPr>
          <w:p w:rsidR="0089596E" w:rsidRDefault="0089596E" w:rsidP="0089596E">
            <w:pPr>
              <w:ind w:left="-829" w:firstLine="829"/>
              <w:jc w:val="center"/>
              <w:rPr>
                <w:lang w:val="hy-AM"/>
              </w:rPr>
            </w:pPr>
            <w:r>
              <w:rPr>
                <w:lang w:val="hy-AM"/>
              </w:rPr>
              <w:lastRenderedPageBreak/>
              <w:t>65</w:t>
            </w:r>
          </w:p>
        </w:tc>
        <w:tc>
          <w:tcPr>
            <w:tcW w:w="4357" w:type="dxa"/>
          </w:tcPr>
          <w:p w:rsidR="0089596E" w:rsidRPr="007315ED" w:rsidRDefault="0089596E" w:rsidP="0089596E">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193" w:type="dxa"/>
            <w:gridSpan w:val="3"/>
          </w:tcPr>
          <w:p w:rsidR="0089596E" w:rsidRPr="001B2EC7" w:rsidRDefault="0089596E" w:rsidP="0089596E">
            <w:pPr>
              <w:spacing w:line="276" w:lineRule="auto"/>
              <w:ind w:left="166" w:right="43" w:firstLine="360"/>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4A73A4" w:rsidRPr="004F7EEB" w:rsidTr="009124CC">
        <w:tc>
          <w:tcPr>
            <w:tcW w:w="614" w:type="dxa"/>
          </w:tcPr>
          <w:p w:rsidR="004A73A4" w:rsidRDefault="004A73A4" w:rsidP="004A73A4">
            <w:pPr>
              <w:ind w:left="-829" w:firstLine="829"/>
              <w:jc w:val="center"/>
              <w:rPr>
                <w:lang w:val="hy-AM"/>
              </w:rPr>
            </w:pPr>
            <w:r>
              <w:rPr>
                <w:lang w:val="hy-AM"/>
              </w:rPr>
              <w:lastRenderedPageBreak/>
              <w:t>66</w:t>
            </w:r>
          </w:p>
        </w:tc>
        <w:tc>
          <w:tcPr>
            <w:tcW w:w="4357" w:type="dxa"/>
          </w:tcPr>
          <w:p w:rsidR="004A73A4" w:rsidRPr="00886675" w:rsidRDefault="004A73A4" w:rsidP="004A73A4">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rsidR="004A73A4" w:rsidRPr="000107F9" w:rsidRDefault="004A73A4" w:rsidP="004A73A4">
            <w:pPr>
              <w:spacing w:before="100" w:beforeAutospacing="1" w:after="100" w:afterAutospacing="1"/>
              <w:rPr>
                <w:rFonts w:eastAsia="Calibri" w:cs="Arial Unicode"/>
                <w:color w:val="000000"/>
                <w:lang w:val="hy-AM"/>
              </w:rPr>
            </w:pPr>
          </w:p>
        </w:tc>
        <w:tc>
          <w:tcPr>
            <w:tcW w:w="5193" w:type="dxa"/>
            <w:gridSpan w:val="3"/>
          </w:tcPr>
          <w:p w:rsidR="004A73A4" w:rsidRDefault="004A73A4" w:rsidP="004A73A4">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rsidR="004A73A4" w:rsidRPr="00E96FC1" w:rsidRDefault="004A73A4" w:rsidP="004A73A4">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rsidR="004A73A4" w:rsidRPr="006C6B48" w:rsidRDefault="004A73A4" w:rsidP="004A73A4">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t xml:space="preserve">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E96FC1">
              <w:rPr>
                <w:rFonts w:cs="GHEA Grapalat"/>
                <w:spacing w:val="-6"/>
                <w:szCs w:val="24"/>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A73A4" w:rsidRPr="00E96FC1" w:rsidRDefault="004A73A4" w:rsidP="004A73A4">
            <w:pPr>
              <w:spacing w:line="276" w:lineRule="auto"/>
              <w:ind w:firstLine="720"/>
              <w:jc w:val="both"/>
              <w:rPr>
                <w:rFonts w:cs="GHEA Grapalat"/>
                <w:spacing w:val="-6"/>
                <w:szCs w:val="24"/>
                <w:lang w:val="hy-AM"/>
              </w:rPr>
            </w:pPr>
            <w:r w:rsidRPr="00E96FC1">
              <w:rPr>
                <w:rFonts w:cs="GHEA Grapalat"/>
                <w:spacing w:val="-6"/>
                <w:szCs w:val="24"/>
                <w:lang w:val="hy-AM"/>
              </w:rPr>
              <w:t>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պարտավորությունները կատարելու հնարավորությունից:</w:t>
            </w:r>
          </w:p>
          <w:p w:rsidR="004A73A4" w:rsidRPr="00E96FC1" w:rsidRDefault="004A73A4" w:rsidP="004A73A4">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w:t>
            </w:r>
            <w:r w:rsidRPr="00E96FC1">
              <w:rPr>
                <w:rFonts w:eastAsia="Times New Roman" w:cs="Arial"/>
                <w:spacing w:val="-6"/>
                <w:szCs w:val="24"/>
                <w:lang w:val="hy-AM"/>
              </w:rPr>
              <w:lastRenderedPageBreak/>
              <w:t>անհաղթահարելի ուժ և կողմը պիտի ապացուցի, որ հանգամանքը եղել է անկանխելի և անխուսափելի։</w:t>
            </w:r>
          </w:p>
          <w:p w:rsidR="004A73A4" w:rsidRDefault="004A73A4" w:rsidP="004A73A4">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rsidR="004A73A4" w:rsidRDefault="004A73A4" w:rsidP="004A73A4">
            <w:pPr>
              <w:spacing w:line="276" w:lineRule="auto"/>
              <w:ind w:firstLine="567"/>
              <w:jc w:val="both"/>
              <w:rPr>
                <w:rFonts w:cs="GHEA Grapalat"/>
                <w:spacing w:val="-6"/>
                <w:szCs w:val="24"/>
                <w:lang w:val="hy-AM"/>
              </w:rPr>
            </w:pPr>
          </w:p>
        </w:tc>
      </w:tr>
      <w:tr w:rsidR="00921531" w:rsidRPr="004F7EEB" w:rsidTr="009124CC">
        <w:tc>
          <w:tcPr>
            <w:tcW w:w="614" w:type="dxa"/>
          </w:tcPr>
          <w:p w:rsidR="00921531" w:rsidRDefault="00921531" w:rsidP="00921531">
            <w:pPr>
              <w:ind w:left="-829" w:firstLine="829"/>
              <w:jc w:val="center"/>
              <w:rPr>
                <w:lang w:val="hy-AM"/>
              </w:rPr>
            </w:pPr>
            <w:r>
              <w:rPr>
                <w:lang w:val="hy-AM"/>
              </w:rPr>
              <w:lastRenderedPageBreak/>
              <w:t>67</w:t>
            </w:r>
          </w:p>
        </w:tc>
        <w:tc>
          <w:tcPr>
            <w:tcW w:w="4357" w:type="dxa"/>
          </w:tcPr>
          <w:p w:rsidR="00921531" w:rsidRPr="008E560E" w:rsidRDefault="001F109F" w:rsidP="00A4356C">
            <w:pPr>
              <w:spacing w:before="100" w:beforeAutospacing="1" w:after="100" w:afterAutospacing="1"/>
              <w:jc w:val="both"/>
              <w:rPr>
                <w:rFonts w:cs="GHEA Grapalat"/>
                <w:spacing w:val="-6"/>
                <w:szCs w:val="24"/>
                <w:lang w:val="hy-AM"/>
              </w:rPr>
            </w:pPr>
            <w:r>
              <w:rPr>
                <w:lang w:val="hy-AM"/>
              </w:rPr>
              <w:t>Եթե մասնակիցը հայտով իր գնային առաջարկը ներկայացրել է որպես ԱԱՀ վճարող և նրա հետ կնքվել է պայմանագիր, սակայն պարզվել է, որ նա հանդիսանում է շրջանառության հարկ վճարող: Կարող արդյո՞ք տվյալ պայմանագիրը կատարվել:</w:t>
            </w:r>
          </w:p>
        </w:tc>
        <w:tc>
          <w:tcPr>
            <w:tcW w:w="5193" w:type="dxa"/>
            <w:gridSpan w:val="3"/>
          </w:tcPr>
          <w:p w:rsidR="00921531" w:rsidRDefault="00921531" w:rsidP="00921531">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t xml:space="preserve">ՀՀ կառավարության 04.05.2017թ. թիվ 526-Ն որոշմամբ հաստատված կարգի </w:t>
            </w:r>
            <w:r>
              <w:rPr>
                <w:rFonts w:cs="Times New Roman"/>
                <w:szCs w:val="24"/>
                <w:lang w:val="hy-AM"/>
              </w:rPr>
              <w:t>32-րդ կետի 2-րդ ենթակետի համաձայն՝ եթե մասնակիցը տվյալ գործարքի գծով պետական բյուջե պետք է 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rsidR="00921531" w:rsidRDefault="00921531" w:rsidP="00921531">
            <w:pPr>
              <w:tabs>
                <w:tab w:val="left" w:pos="851"/>
              </w:tabs>
              <w:spacing w:line="276" w:lineRule="auto"/>
              <w:ind w:firstLine="567"/>
              <w:jc w:val="both"/>
              <w:rPr>
                <w:rFonts w:cs="GHEA Grapalat"/>
                <w:spacing w:val="-6"/>
                <w:szCs w:val="24"/>
                <w:lang w:val="hy-AM"/>
              </w:rPr>
            </w:pPr>
            <w:r>
              <w:rPr>
                <w:rFonts w:eastAsia="Times New Roman"/>
                <w:szCs w:val="24"/>
                <w:lang w:val="hy-AM" w:eastAsia="ru-RU"/>
              </w:rPr>
              <w:t xml:space="preserve">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w:t>
            </w:r>
            <w:r>
              <w:rPr>
                <w:rFonts w:eastAsia="Times New Roman"/>
                <w:szCs w:val="24"/>
                <w:lang w:val="hy-AM" w:eastAsia="ru-RU"/>
              </w:rPr>
              <w:lastRenderedPageBreak/>
              <w:t>(պայմանագիրը)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tc>
      </w:tr>
      <w:tr w:rsidR="0060127A" w:rsidRPr="004F7EEB" w:rsidTr="009124CC">
        <w:tc>
          <w:tcPr>
            <w:tcW w:w="614" w:type="dxa"/>
          </w:tcPr>
          <w:p w:rsidR="0060127A" w:rsidRDefault="00763BA6" w:rsidP="00921531">
            <w:pPr>
              <w:ind w:left="-829" w:firstLine="829"/>
              <w:jc w:val="center"/>
              <w:rPr>
                <w:lang w:val="hy-AM"/>
              </w:rPr>
            </w:pPr>
            <w:r>
              <w:rPr>
                <w:lang w:val="hy-AM"/>
              </w:rPr>
              <w:lastRenderedPageBreak/>
              <w:t>68</w:t>
            </w:r>
          </w:p>
        </w:tc>
        <w:tc>
          <w:tcPr>
            <w:tcW w:w="4357" w:type="dxa"/>
          </w:tcPr>
          <w:p w:rsidR="0060127A" w:rsidRDefault="00763BA6" w:rsidP="00F52BF2">
            <w:pPr>
              <w:spacing w:line="276" w:lineRule="auto"/>
              <w:contextualSpacing/>
              <w:jc w:val="both"/>
              <w:rPr>
                <w:lang w:val="hy-AM"/>
              </w:rPr>
            </w:pPr>
            <w:r w:rsidRPr="00763BA6">
              <w:rPr>
                <w:szCs w:val="24"/>
                <w:lang w:val="hy-AM"/>
              </w:rPr>
              <w:t>Կարո</w:t>
            </w:r>
            <w:r w:rsidRPr="008C4D75">
              <w:rPr>
                <w:lang w:val="hy-AM"/>
              </w:rPr>
              <w:t>՞</w:t>
            </w:r>
            <w:r w:rsidRPr="00763BA6">
              <w:rPr>
                <w:szCs w:val="24"/>
                <w:lang w:val="hy-AM"/>
              </w:rPr>
              <w:t xml:space="preserve">ղ է արդյոք </w:t>
            </w:r>
            <w:r>
              <w:rPr>
                <w:szCs w:val="24"/>
                <w:lang w:val="hy-AM"/>
              </w:rPr>
              <w:t>ՀՀ կառավարության 27.11.2025թ. N1704-Ն որոշմամբ հաստատված ավիատոմսերի ձեռք բերման պայմանների 2-րդ կետի 2-րդ ենթակետի համաձայն՝ խմբակային ավիատոմսերի ձեռքբերումը ՀՀ-ում գործող ավիափոխադրողի պաշտոնական ներկայացուց</w:t>
            </w:r>
            <w:r w:rsidRPr="00763BA6">
              <w:rPr>
                <w:szCs w:val="24"/>
                <w:lang w:val="hy-AM"/>
              </w:rPr>
              <w:t>չից</w:t>
            </w:r>
            <w:r>
              <w:rPr>
                <w:szCs w:val="24"/>
                <w:lang w:val="hy-AM"/>
              </w:rPr>
              <w:t xml:space="preserve"> գնումները կարգավորող ՀՀ օրենսդրությամբ սահմանված կարգով</w:t>
            </w:r>
            <w:r w:rsidRPr="00763BA6">
              <w:rPr>
                <w:szCs w:val="24"/>
                <w:lang w:val="hy-AM"/>
              </w:rPr>
              <w:t xml:space="preserve"> ձեռքբերելու շրջանակում գնումն իրականացնել Օրենքի 23-րդ հոդվածի 1-ին մասի</w:t>
            </w:r>
            <w:r>
              <w:rPr>
                <w:szCs w:val="24"/>
                <w:lang w:val="hy-AM"/>
              </w:rPr>
              <w:t xml:space="preserve"> 1-ին կետի</w:t>
            </w:r>
            <w:r w:rsidRPr="00763BA6">
              <w:rPr>
                <w:szCs w:val="24"/>
                <w:lang w:val="hy-AM"/>
              </w:rPr>
              <w:t xml:space="preserve"> հիման վրա</w:t>
            </w:r>
            <w:r>
              <w:rPr>
                <w:szCs w:val="24"/>
                <w:lang w:val="hy-AM"/>
              </w:rPr>
              <w:t xml:space="preserve">: </w:t>
            </w:r>
          </w:p>
        </w:tc>
        <w:tc>
          <w:tcPr>
            <w:tcW w:w="5193" w:type="dxa"/>
            <w:gridSpan w:val="3"/>
          </w:tcPr>
          <w:p w:rsidR="0060127A" w:rsidRDefault="00763BA6" w:rsidP="00921531">
            <w:pPr>
              <w:spacing w:line="276" w:lineRule="auto"/>
              <w:ind w:firstLine="450"/>
              <w:contextualSpacing/>
              <w:jc w:val="both"/>
              <w:rPr>
                <w:rFonts w:eastAsia="Times New Roman" w:cs="Times New Roman"/>
                <w:color w:val="000000"/>
                <w:szCs w:val="24"/>
                <w:lang w:val="hy-AM"/>
              </w:rPr>
            </w:pPr>
            <w:r>
              <w:rPr>
                <w:lang w:val="hy-AM"/>
              </w:rPr>
              <w:t>Օրենքի 23-րդ հոդվածի 1-ին մասի 1-ին կետի հիման վրա հատուկ կամ բացառիկ իրավունքի առկայության հիմքով կատարվող գնումների ցանկը սահմանված է կարգի 23-րդ կետի 4-րդ ենթակետով, որով նախատեսված չէ, որ ավիատոմսերի ձեռքբերումը կարող է իրականացվել նշված կետի հիմքով:</w:t>
            </w:r>
          </w:p>
        </w:tc>
      </w:tr>
      <w:tr w:rsidR="0060127A" w:rsidRPr="004F7EEB" w:rsidTr="009124CC">
        <w:tc>
          <w:tcPr>
            <w:tcW w:w="614" w:type="dxa"/>
          </w:tcPr>
          <w:p w:rsidR="0060127A" w:rsidRDefault="00F52BF2" w:rsidP="00921531">
            <w:pPr>
              <w:ind w:left="-829" w:firstLine="829"/>
              <w:jc w:val="center"/>
              <w:rPr>
                <w:lang w:val="hy-AM"/>
              </w:rPr>
            </w:pPr>
            <w:r>
              <w:rPr>
                <w:lang w:val="hy-AM"/>
              </w:rPr>
              <w:t>69</w:t>
            </w:r>
          </w:p>
        </w:tc>
        <w:tc>
          <w:tcPr>
            <w:tcW w:w="4357" w:type="dxa"/>
          </w:tcPr>
          <w:p w:rsidR="0060127A" w:rsidRDefault="00F52BF2" w:rsidP="00A4356C">
            <w:pPr>
              <w:spacing w:before="100" w:beforeAutospacing="1" w:after="100" w:afterAutospacing="1"/>
              <w:jc w:val="both"/>
              <w:rPr>
                <w:lang w:val="hy-AM"/>
              </w:rPr>
            </w:pPr>
            <w:r>
              <w:rPr>
                <w:szCs w:val="24"/>
                <w:lang w:val="hy-AM"/>
              </w:rPr>
              <w:t>Կարո</w:t>
            </w:r>
            <w:r w:rsidRPr="008C4D75">
              <w:rPr>
                <w:lang w:val="hy-AM"/>
              </w:rPr>
              <w:t>՞</w:t>
            </w:r>
            <w:r>
              <w:rPr>
                <w:szCs w:val="24"/>
                <w:lang w:val="hy-AM"/>
              </w:rPr>
              <w:t>ղ է արդյոք պատվիրատուի ղեկավարը հանդիսանալ պատասխանատու ստորաբաժանման ղեկավար կամ անդամ:</w:t>
            </w:r>
          </w:p>
        </w:tc>
        <w:tc>
          <w:tcPr>
            <w:tcW w:w="5193" w:type="dxa"/>
            <w:gridSpan w:val="3"/>
          </w:tcPr>
          <w:p w:rsidR="0060127A" w:rsidRDefault="00F52BF2" w:rsidP="00921531">
            <w:pPr>
              <w:spacing w:line="276" w:lineRule="auto"/>
              <w:ind w:firstLine="450"/>
              <w:contextualSpacing/>
              <w:jc w:val="both"/>
              <w:rPr>
                <w:rFonts w:eastAsia="Times New Roman" w:cs="Times New Roman"/>
                <w:color w:val="000000"/>
                <w:szCs w:val="24"/>
                <w:lang w:val="hy-AM"/>
              </w:rPr>
            </w:pPr>
            <w:r>
              <w:rPr>
                <w:rFonts w:cs="Calibri"/>
                <w:lang w:val="hy-AM"/>
              </w:rPr>
              <w:t>Պ</w:t>
            </w:r>
            <w:r w:rsidRPr="00D0224D">
              <w:rPr>
                <w:rFonts w:cs="Calibri"/>
                <w:lang w:val="hy-AM"/>
              </w:rPr>
              <w:t xml:space="preserve">ատվիրատուի ղեկավարը չի կարող </w:t>
            </w:r>
            <w:r>
              <w:rPr>
                <w:rFonts w:cs="Calibri"/>
                <w:lang w:val="hy-AM"/>
              </w:rPr>
              <w:t>ներառվել պատասխանատու ստորաբաժանման կազմում, քանի որ</w:t>
            </w:r>
            <w:r w:rsidRPr="00D0224D">
              <w:rPr>
                <w:rFonts w:cs="Calibri"/>
                <w:lang w:val="hy-AM"/>
              </w:rPr>
              <w:t xml:space="preserve"> առաջանում է շահերի բախման իրավիճակ</w:t>
            </w:r>
            <w:r>
              <w:rPr>
                <w:rFonts w:cs="Calibri"/>
                <w:lang w:val="hy-AM"/>
              </w:rPr>
              <w:t>՝</w:t>
            </w:r>
            <w:r w:rsidRPr="00D0224D">
              <w:rPr>
                <w:rFonts w:cs="Calibri"/>
                <w:lang w:val="hy-AM"/>
              </w:rPr>
              <w:t xml:space="preserve"> նկատի ունենալով, որ </w:t>
            </w:r>
            <w:r>
              <w:rPr>
                <w:rFonts w:cs="Calibri"/>
                <w:lang w:val="hy-AM"/>
              </w:rPr>
              <w:t xml:space="preserve">պատվիրատուի </w:t>
            </w:r>
            <w:r w:rsidRPr="00D0224D">
              <w:rPr>
                <w:rFonts w:cs="Calibri"/>
                <w:lang w:val="hy-AM"/>
              </w:rPr>
              <w:t xml:space="preserve">ղեկավարն է </w:t>
            </w:r>
            <w:r w:rsidRPr="002C434D">
              <w:rPr>
                <w:rFonts w:cs="Calibri"/>
                <w:lang w:val="hy-AM"/>
              </w:rPr>
              <w:t xml:space="preserve">կրում </w:t>
            </w:r>
            <w:r>
              <w:rPr>
                <w:rFonts w:cs="Calibri"/>
                <w:lang w:val="hy-AM"/>
              </w:rPr>
              <w:t xml:space="preserve"> </w:t>
            </w:r>
            <w:r w:rsidRPr="002C434D">
              <w:rPr>
                <w:rFonts w:cs="Calibri"/>
                <w:lang w:val="hy-AM"/>
              </w:rPr>
              <w:t>կարգի</w:t>
            </w:r>
            <w:r>
              <w:rPr>
                <w:rFonts w:cs="Calibri"/>
                <w:lang w:val="hy-AM"/>
              </w:rPr>
              <w:t xml:space="preserve">  25-րդ կետում գնման հայտի դիտարկման, կարգավորման և համաձայնեցման հետ կապված գործընթացի կարգավորման </w:t>
            </w:r>
            <w:r w:rsidRPr="00D0224D">
              <w:rPr>
                <w:rFonts w:cs="Calibri"/>
                <w:lang w:val="hy-AM"/>
              </w:rPr>
              <w:t>պարտավորությունը:</w:t>
            </w:r>
          </w:p>
        </w:tc>
      </w:tr>
      <w:tr w:rsidR="00303060" w:rsidRPr="004F7EEB" w:rsidTr="009124CC">
        <w:tc>
          <w:tcPr>
            <w:tcW w:w="614" w:type="dxa"/>
          </w:tcPr>
          <w:p w:rsidR="00303060" w:rsidRDefault="009D4A78" w:rsidP="00921531">
            <w:pPr>
              <w:ind w:left="-829" w:firstLine="829"/>
              <w:jc w:val="center"/>
              <w:rPr>
                <w:lang w:val="hy-AM"/>
              </w:rPr>
            </w:pPr>
            <w:r>
              <w:rPr>
                <w:lang w:val="hy-AM"/>
              </w:rPr>
              <w:t>70</w:t>
            </w:r>
          </w:p>
        </w:tc>
        <w:tc>
          <w:tcPr>
            <w:tcW w:w="4357" w:type="dxa"/>
          </w:tcPr>
          <w:p w:rsidR="00303060" w:rsidRDefault="009D4A78" w:rsidP="00A4356C">
            <w:pPr>
              <w:spacing w:before="100" w:beforeAutospacing="1" w:after="100" w:afterAutospacing="1"/>
              <w:jc w:val="both"/>
              <w:rPr>
                <w:lang w:val="hy-AM"/>
              </w:rPr>
            </w:pPr>
            <w:r w:rsidRPr="002A6165">
              <w:rPr>
                <w:lang w:val="hy-AM"/>
              </w:rPr>
              <w:t xml:space="preserve">Կարո՞ղ </w:t>
            </w:r>
            <w:r>
              <w:rPr>
                <w:lang w:val="hy-AM"/>
              </w:rPr>
              <w:t>են արդյոք պատասխանատու ստորաբաժանման անդամները ընդգրկվել գնահատող հանձնաժողովի կազմում:</w:t>
            </w:r>
          </w:p>
        </w:tc>
        <w:tc>
          <w:tcPr>
            <w:tcW w:w="5193" w:type="dxa"/>
            <w:gridSpan w:val="3"/>
          </w:tcPr>
          <w:p w:rsidR="009D4A78" w:rsidRDefault="009D4A78" w:rsidP="009D4A78">
            <w:pPr>
              <w:spacing w:line="276" w:lineRule="auto"/>
              <w:ind w:firstLine="709"/>
              <w:jc w:val="both"/>
              <w:rPr>
                <w:rFonts w:cs="Calibri"/>
                <w:szCs w:val="24"/>
                <w:lang w:val="hy-AM"/>
              </w:rPr>
            </w:pPr>
            <w:r>
              <w:rPr>
                <w:rFonts w:cs="Calibri"/>
                <w:szCs w:val="24"/>
                <w:lang w:val="hy-AM"/>
              </w:rPr>
              <w:t xml:space="preserve">Գնումների մասին օրենսդրությամբ՝ պատասխանատու ստորաբաժանման անդամների գնահատող հանձնաժողովի </w:t>
            </w:r>
            <w:r>
              <w:rPr>
                <w:rFonts w:cs="Calibri"/>
                <w:szCs w:val="24"/>
                <w:lang w:val="hy-AM"/>
              </w:rPr>
              <w:lastRenderedPageBreak/>
              <w:t>կազմում ներառվելու հետ կապված սահմանափակումներ առկա չեն:</w:t>
            </w:r>
          </w:p>
          <w:p w:rsidR="00303060" w:rsidRDefault="00303060" w:rsidP="00921531">
            <w:pPr>
              <w:spacing w:line="276" w:lineRule="auto"/>
              <w:ind w:firstLine="450"/>
              <w:contextualSpacing/>
              <w:jc w:val="both"/>
              <w:rPr>
                <w:rFonts w:eastAsia="Times New Roman" w:cs="Times New Roman"/>
                <w:color w:val="000000"/>
                <w:szCs w:val="24"/>
                <w:lang w:val="hy-AM"/>
              </w:rPr>
            </w:pPr>
          </w:p>
        </w:tc>
      </w:tr>
      <w:tr w:rsidR="009D4A78" w:rsidRPr="004F7EEB" w:rsidTr="009124CC">
        <w:tc>
          <w:tcPr>
            <w:tcW w:w="614" w:type="dxa"/>
          </w:tcPr>
          <w:p w:rsidR="009D4A78" w:rsidRDefault="009D4A78" w:rsidP="00921531">
            <w:pPr>
              <w:ind w:left="-829" w:firstLine="829"/>
              <w:jc w:val="center"/>
              <w:rPr>
                <w:lang w:val="hy-AM"/>
              </w:rPr>
            </w:pPr>
            <w:r>
              <w:rPr>
                <w:lang w:val="hy-AM"/>
              </w:rPr>
              <w:lastRenderedPageBreak/>
              <w:t>71</w:t>
            </w:r>
          </w:p>
        </w:tc>
        <w:tc>
          <w:tcPr>
            <w:tcW w:w="4357" w:type="dxa"/>
          </w:tcPr>
          <w:p w:rsidR="009D4A78" w:rsidRPr="002A6165" w:rsidRDefault="000B7AA5" w:rsidP="00A4356C">
            <w:pPr>
              <w:spacing w:before="100" w:beforeAutospacing="1" w:after="100" w:afterAutospacing="1"/>
              <w:jc w:val="both"/>
              <w:rPr>
                <w:lang w:val="hy-AM"/>
              </w:rPr>
            </w:pPr>
            <w:r>
              <w:rPr>
                <w:lang w:val="hy-AM"/>
              </w:rPr>
              <w:t xml:space="preserve">      Ի</w:t>
            </w:r>
            <w:r w:rsidRPr="001F4E1E">
              <w:rPr>
                <w:lang w:val="hy-AM"/>
              </w:rPr>
              <w:t>՞</w:t>
            </w:r>
            <w:r>
              <w:rPr>
                <w:lang w:val="hy-AM"/>
              </w:rPr>
              <w:t>նչ</w:t>
            </w:r>
            <w:r w:rsidRPr="001F4E1E">
              <w:rPr>
                <w:lang w:val="hy-AM"/>
              </w:rPr>
              <w:t xml:space="preserve"> փաստաթղթեր են հրապարակվում տեղեկագրում</w:t>
            </w:r>
            <w:r>
              <w:rPr>
                <w:lang w:val="hy-AM"/>
              </w:rPr>
              <w:t xml:space="preserve"> գնումը Օ</w:t>
            </w:r>
            <w:r w:rsidRPr="001F4E1E">
              <w:rPr>
                <w:lang w:val="hy-AM"/>
              </w:rPr>
              <w:t>րենքի 23-րդ հոդվածի 1-ին մասի 4-րդ կետի հիման վրա</w:t>
            </w:r>
            <w:r>
              <w:rPr>
                <w:lang w:val="hy-AM"/>
              </w:rPr>
              <w:t xml:space="preserve"> իրականացնելու դեպքում</w:t>
            </w:r>
            <w:r w:rsidRPr="001F4E1E">
              <w:rPr>
                <w:lang w:val="hy-AM"/>
              </w:rPr>
              <w:t>։</w:t>
            </w:r>
          </w:p>
        </w:tc>
        <w:tc>
          <w:tcPr>
            <w:tcW w:w="5193" w:type="dxa"/>
            <w:gridSpan w:val="3"/>
          </w:tcPr>
          <w:p w:rsidR="009D4A78" w:rsidRDefault="000B7AA5" w:rsidP="000B7AA5">
            <w:pPr>
              <w:spacing w:line="276" w:lineRule="auto"/>
              <w:ind w:left="90"/>
              <w:contextualSpacing/>
              <w:jc w:val="both"/>
              <w:rPr>
                <w:rFonts w:cs="Calibri"/>
                <w:szCs w:val="24"/>
                <w:lang w:val="hy-AM"/>
              </w:rPr>
            </w:pPr>
            <w:r>
              <w:rPr>
                <w:szCs w:val="24"/>
                <w:lang w:val="hy-AM"/>
              </w:rPr>
              <w:t xml:space="preserve">Օրենքի 23-րդ հոդվածի 1-ին մասի 4-րդ կետի հիման վրա ընթացակարգ կազմակերպվելու դեպքում տեղեկագրում հրապարակվում են պայմանագիր կնքելու մասին որոշման մասին հայտարարությունը և պատասխանատու ստորաբաժանման ղեկավարի, գնման հայտը նախագծած ներկայացուցչի և գնումների համակարգողի կողմից հաստատված՝ </w:t>
            </w:r>
            <w:r w:rsidRPr="002A1A74">
              <w:rPr>
                <w:szCs w:val="24"/>
                <w:lang w:val="hy-AM"/>
              </w:rPr>
              <w:t>շահերի բախման բացակայության մասին հայտարարություն</w:t>
            </w:r>
            <w:r>
              <w:rPr>
                <w:szCs w:val="24"/>
                <w:lang w:val="hy-AM"/>
              </w:rPr>
              <w:t xml:space="preserve">ը: Ընդ որում եթե գնումը կատարվում է իրավաբանական անձի կարգավիճակ ունեցող միավորից, ապա նշված հայտարարության մեջ նշվում է նաև այդ միավորի </w:t>
            </w:r>
            <w:r w:rsidRPr="00C97863">
              <w:rPr>
                <w:szCs w:val="24"/>
                <w:lang w:val="hy-AM"/>
              </w:rPr>
              <w:t>իրական շահառուների վերաբերյալ տեղեկություններ</w:t>
            </w:r>
            <w:r>
              <w:rPr>
                <w:szCs w:val="24"/>
                <w:lang w:val="hy-AM"/>
              </w:rPr>
              <w:t xml:space="preserve">ը պարունակող հղումը: </w:t>
            </w:r>
          </w:p>
        </w:tc>
      </w:tr>
      <w:tr w:rsidR="004F7EEB" w:rsidRPr="004F7EEB" w:rsidTr="009124CC">
        <w:tc>
          <w:tcPr>
            <w:tcW w:w="614" w:type="dxa"/>
          </w:tcPr>
          <w:p w:rsidR="004F7EEB" w:rsidRDefault="004F7EEB" w:rsidP="00921531">
            <w:pPr>
              <w:ind w:left="-829" w:firstLine="829"/>
              <w:jc w:val="center"/>
              <w:rPr>
                <w:lang w:val="hy-AM"/>
              </w:rPr>
            </w:pPr>
            <w:r>
              <w:rPr>
                <w:lang w:val="hy-AM"/>
              </w:rPr>
              <w:t>72</w:t>
            </w:r>
          </w:p>
        </w:tc>
        <w:tc>
          <w:tcPr>
            <w:tcW w:w="4357" w:type="dxa"/>
          </w:tcPr>
          <w:p w:rsidR="00296D38" w:rsidRPr="00296D38" w:rsidRDefault="00F923E6" w:rsidP="00296D38">
            <w:pPr>
              <w:spacing w:before="100" w:beforeAutospacing="1" w:after="100" w:afterAutospacing="1"/>
              <w:jc w:val="both"/>
              <w:rPr>
                <w:lang w:val="hy-AM"/>
              </w:rPr>
            </w:pPr>
            <w:r w:rsidRPr="00F923E6">
              <w:rPr>
                <w:lang w:val="hy-AM"/>
              </w:rPr>
              <w:t>Արդյո՞ք պատվիրատուն իրավասու է պայմանագիր կնքելու առաջարկ ներկայացնել հաջորդ</w:t>
            </w:r>
            <w:r>
              <w:rPr>
                <w:lang w:val="hy-AM"/>
              </w:rPr>
              <w:t>աբար</w:t>
            </w:r>
            <w:r w:rsidRPr="00F923E6">
              <w:rPr>
                <w:lang w:val="hy-AM"/>
              </w:rPr>
              <w:t xml:space="preserve"> տեղը զբաղեցրած մասնակցին, եթե </w:t>
            </w:r>
            <w:r w:rsidR="00296D38" w:rsidRPr="00296D38">
              <w:rPr>
                <w:lang w:val="hy-AM"/>
              </w:rPr>
              <w:t xml:space="preserve"> ընտրված մասնակիցը հրաժարվում է պայմանագիր կնքելուց, չի ստորագրում </w:t>
            </w:r>
            <w:bookmarkStart w:id="0" w:name="_GoBack"/>
            <w:bookmarkEnd w:id="0"/>
            <w:r w:rsidR="00296D38" w:rsidRPr="00296D38">
              <w:rPr>
                <w:lang w:val="hy-AM"/>
              </w:rPr>
              <w:t>պայմանագրի նախագիծը կամ զրկվում է պայմանագիր կնքելու իրավունքից։</w:t>
            </w:r>
          </w:p>
        </w:tc>
        <w:tc>
          <w:tcPr>
            <w:tcW w:w="5193" w:type="dxa"/>
            <w:gridSpan w:val="3"/>
          </w:tcPr>
          <w:p w:rsidR="004F7EEB" w:rsidRDefault="00982EDE" w:rsidP="00CD2F84">
            <w:pPr>
              <w:spacing w:line="276" w:lineRule="auto"/>
              <w:ind w:left="90"/>
              <w:contextualSpacing/>
              <w:jc w:val="both"/>
              <w:rPr>
                <w:lang w:val="hy-AM"/>
              </w:rPr>
            </w:pPr>
            <w:r w:rsidRPr="00982EDE">
              <w:rPr>
                <w:lang w:val="hy-AM"/>
              </w:rPr>
              <w:t xml:space="preserve">Մրցույթի կամ գնանշման հարցման ընթացակարգերում, եթե ընտրված մասնակիցը հրաժարվում է պայմանագիր կնքելուց կամ զրկվում է այդ իրավունքից, նրա հայտը մերժվում է՝ կիրառելով </w:t>
            </w:r>
            <w:r w:rsidR="00CD2F84">
              <w:rPr>
                <w:lang w:val="hy-AM"/>
              </w:rPr>
              <w:t>օրենսդրությամբ</w:t>
            </w:r>
            <w:r w:rsidRPr="00982EDE">
              <w:rPr>
                <w:lang w:val="hy-AM"/>
              </w:rPr>
              <w:t xml:space="preserve"> նախատեսված պատասխանատվության միջոցները, իսկ պայմանագիր կնքելու առաջարկը ներկայացվում է հաջորդ</w:t>
            </w:r>
            <w:r w:rsidR="00CD2F84">
              <w:rPr>
                <w:lang w:val="hy-AM"/>
              </w:rPr>
              <w:t>ող</w:t>
            </w:r>
            <w:r w:rsidRPr="00982EDE">
              <w:rPr>
                <w:lang w:val="hy-AM"/>
              </w:rPr>
              <w:t xml:space="preserve"> տեղը զբաղեցրած մասնակցին։</w:t>
            </w:r>
          </w:p>
          <w:p w:rsidR="00CD2F84" w:rsidRPr="00296D38" w:rsidRDefault="00CD2F84" w:rsidP="00CD2F84">
            <w:pPr>
              <w:spacing w:line="276" w:lineRule="auto"/>
              <w:contextualSpacing/>
              <w:jc w:val="both"/>
              <w:rPr>
                <w:szCs w:val="24"/>
              </w:rPr>
            </w:pPr>
          </w:p>
        </w:tc>
      </w:tr>
    </w:tbl>
    <w:p w:rsidR="00E56176" w:rsidRDefault="00E56176" w:rsidP="00F65F7D">
      <w:pPr>
        <w:jc w:val="center"/>
        <w:rPr>
          <w:lang w:val="hy-AM"/>
        </w:rPr>
      </w:pPr>
    </w:p>
    <w:p w:rsidR="00FC2EE6" w:rsidRPr="00F65F7D" w:rsidRDefault="00FC2EE6" w:rsidP="00166B32">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B7AA5"/>
    <w:rsid w:val="000D370B"/>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1F109F"/>
    <w:rsid w:val="00201713"/>
    <w:rsid w:val="00204C00"/>
    <w:rsid w:val="0020700E"/>
    <w:rsid w:val="00221622"/>
    <w:rsid w:val="00225717"/>
    <w:rsid w:val="002369F0"/>
    <w:rsid w:val="00243A61"/>
    <w:rsid w:val="002465C3"/>
    <w:rsid w:val="00247FDA"/>
    <w:rsid w:val="002661A0"/>
    <w:rsid w:val="00280301"/>
    <w:rsid w:val="00285820"/>
    <w:rsid w:val="002920D2"/>
    <w:rsid w:val="00296D38"/>
    <w:rsid w:val="002A15C9"/>
    <w:rsid w:val="002A7587"/>
    <w:rsid w:val="002B1407"/>
    <w:rsid w:val="002B6501"/>
    <w:rsid w:val="002C4A48"/>
    <w:rsid w:val="002C4DFA"/>
    <w:rsid w:val="002E34BD"/>
    <w:rsid w:val="00303060"/>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A73A4"/>
    <w:rsid w:val="004C38C9"/>
    <w:rsid w:val="004C6A60"/>
    <w:rsid w:val="004D3A1F"/>
    <w:rsid w:val="004D51C4"/>
    <w:rsid w:val="004F4768"/>
    <w:rsid w:val="004F7EEB"/>
    <w:rsid w:val="004F7F1E"/>
    <w:rsid w:val="00574189"/>
    <w:rsid w:val="005D224C"/>
    <w:rsid w:val="005D7099"/>
    <w:rsid w:val="005F06DE"/>
    <w:rsid w:val="005F14B4"/>
    <w:rsid w:val="005F6C77"/>
    <w:rsid w:val="0060127A"/>
    <w:rsid w:val="00602D41"/>
    <w:rsid w:val="006239B8"/>
    <w:rsid w:val="0065126D"/>
    <w:rsid w:val="006744D7"/>
    <w:rsid w:val="00680833"/>
    <w:rsid w:val="00683679"/>
    <w:rsid w:val="006914DD"/>
    <w:rsid w:val="00694382"/>
    <w:rsid w:val="006968FD"/>
    <w:rsid w:val="00696A40"/>
    <w:rsid w:val="006A0DF9"/>
    <w:rsid w:val="006A7A93"/>
    <w:rsid w:val="006D736A"/>
    <w:rsid w:val="006D79FB"/>
    <w:rsid w:val="006E5685"/>
    <w:rsid w:val="006F7865"/>
    <w:rsid w:val="00701F2F"/>
    <w:rsid w:val="00713516"/>
    <w:rsid w:val="00730071"/>
    <w:rsid w:val="00742DD2"/>
    <w:rsid w:val="00742EE3"/>
    <w:rsid w:val="00763BA6"/>
    <w:rsid w:val="00763D8D"/>
    <w:rsid w:val="00771F1F"/>
    <w:rsid w:val="00786EB8"/>
    <w:rsid w:val="007A155D"/>
    <w:rsid w:val="007A4703"/>
    <w:rsid w:val="007B7C6E"/>
    <w:rsid w:val="007D0860"/>
    <w:rsid w:val="007D4DE9"/>
    <w:rsid w:val="007E1699"/>
    <w:rsid w:val="007F2182"/>
    <w:rsid w:val="0080719B"/>
    <w:rsid w:val="0082352D"/>
    <w:rsid w:val="00840140"/>
    <w:rsid w:val="00860C5D"/>
    <w:rsid w:val="00861A10"/>
    <w:rsid w:val="00870712"/>
    <w:rsid w:val="00876F32"/>
    <w:rsid w:val="00880851"/>
    <w:rsid w:val="00893011"/>
    <w:rsid w:val="0089596E"/>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21531"/>
    <w:rsid w:val="00924A00"/>
    <w:rsid w:val="009448A7"/>
    <w:rsid w:val="00961733"/>
    <w:rsid w:val="00963F61"/>
    <w:rsid w:val="00976DC6"/>
    <w:rsid w:val="00977ADE"/>
    <w:rsid w:val="00982EDE"/>
    <w:rsid w:val="00996D6F"/>
    <w:rsid w:val="009A1F7B"/>
    <w:rsid w:val="009B6EB3"/>
    <w:rsid w:val="009D094A"/>
    <w:rsid w:val="009D4A78"/>
    <w:rsid w:val="009F07CC"/>
    <w:rsid w:val="009F579D"/>
    <w:rsid w:val="00A02DA9"/>
    <w:rsid w:val="00A051AC"/>
    <w:rsid w:val="00A12763"/>
    <w:rsid w:val="00A4356C"/>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D2F84"/>
    <w:rsid w:val="00CE3B9C"/>
    <w:rsid w:val="00D22333"/>
    <w:rsid w:val="00D30501"/>
    <w:rsid w:val="00D43947"/>
    <w:rsid w:val="00D511E6"/>
    <w:rsid w:val="00D631C4"/>
    <w:rsid w:val="00D66F01"/>
    <w:rsid w:val="00D6781B"/>
    <w:rsid w:val="00D67D0E"/>
    <w:rsid w:val="00D82A84"/>
    <w:rsid w:val="00D92FB0"/>
    <w:rsid w:val="00DB56C3"/>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52BF2"/>
    <w:rsid w:val="00F60318"/>
    <w:rsid w:val="00F61B0B"/>
    <w:rsid w:val="00F65F7D"/>
    <w:rsid w:val="00F67DD7"/>
    <w:rsid w:val="00F728DA"/>
    <w:rsid w:val="00F810A6"/>
    <w:rsid w:val="00F923E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DEFB"/>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32</Pages>
  <Words>7625</Words>
  <Characters>43469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107</cp:revision>
  <dcterms:created xsi:type="dcterms:W3CDTF">2024-06-27T07:52:00Z</dcterms:created>
  <dcterms:modified xsi:type="dcterms:W3CDTF">2026-06-10T12:11:00Z</dcterms:modified>
</cp:coreProperties>
</file>