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04E712A4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D6E19" w:rsidRPr="007D6E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հատուկ նպատակային այլ նյութերի </w:t>
      </w:r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03F3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ԳՀԱՊՁԲ-2026/Ա-40</w:t>
      </w: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2496" w:rsidRPr="00912496">
        <w:rPr>
          <w:rFonts w:ascii="GHEA Grapalat" w:eastAsia="Times New Roman" w:hAnsi="GHEA Grapalat" w:cs="Sylfaen"/>
          <w:sz w:val="20"/>
          <w:szCs w:val="20"/>
          <w:lang w:val="af-ZA" w:eastAsia="ru-RU"/>
        </w:rPr>
        <w:t>18.05</w:t>
      </w:r>
      <w:r w:rsidR="00CB4473" w:rsidRPr="00912496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.2026</w:t>
      </w:r>
      <w:r w:rsidR="00B45B14" w:rsidRPr="009124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540"/>
        <w:gridCol w:w="275"/>
        <w:gridCol w:w="85"/>
        <w:gridCol w:w="180"/>
        <w:gridCol w:w="25"/>
        <w:gridCol w:w="785"/>
        <w:gridCol w:w="572"/>
        <w:gridCol w:w="238"/>
        <w:gridCol w:w="16"/>
        <w:gridCol w:w="159"/>
        <w:gridCol w:w="49"/>
        <w:gridCol w:w="603"/>
        <w:gridCol w:w="8"/>
        <w:gridCol w:w="65"/>
        <w:gridCol w:w="450"/>
        <w:gridCol w:w="180"/>
        <w:gridCol w:w="500"/>
        <w:gridCol w:w="67"/>
        <w:gridCol w:w="14"/>
        <w:gridCol w:w="519"/>
        <w:gridCol w:w="520"/>
        <w:gridCol w:w="25"/>
        <w:gridCol w:w="245"/>
        <w:gridCol w:w="450"/>
        <w:gridCol w:w="37"/>
        <w:gridCol w:w="675"/>
        <w:gridCol w:w="208"/>
        <w:gridCol w:w="26"/>
        <w:gridCol w:w="404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31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AB3A8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11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AB3A8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11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gridSpan w:val="6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AB3A8E">
        <w:trPr>
          <w:trHeight w:val="646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7A3C25" w:rsidRPr="00030D7B" w14:paraId="6CB0AC86" w14:textId="77777777" w:rsidTr="00B82E1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4945BE47" w:rsidR="007A3C25" w:rsidRPr="00753E26" w:rsidRDefault="007A3C25" w:rsidP="007A3C25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14:paraId="619F80EC" w14:textId="77777777" w:rsidR="007A3C25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7D6E19">
              <w:rPr>
                <w:rFonts w:ascii="GHEA Grapalat" w:hAnsi="GHEA Grapalat"/>
                <w:sz w:val="18"/>
              </w:rPr>
              <w:t>Հիդրավլիկ  սարքեր</w:t>
            </w:r>
          </w:p>
          <w:p w14:paraId="2721F035" w14:textId="3A54C893" w:rsidR="007A3C25" w:rsidRPr="00EC30A8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030D7B">
              <w:rPr>
                <w:rFonts w:ascii="GHEA Grapalat" w:hAnsi="GHEA Grapalat"/>
                <w:sz w:val="18"/>
              </w:rPr>
              <w:t xml:space="preserve">CPV- </w:t>
            </w:r>
            <w:r w:rsidRPr="007D6E19">
              <w:rPr>
                <w:rFonts w:ascii="GHEA Grapalat" w:hAnsi="GHEA Grapalat"/>
                <w:sz w:val="18"/>
              </w:rPr>
              <w:t>43321190/3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C08EE47" w14:textId="7A372CCB" w:rsidR="007A3C25" w:rsidRPr="00EC30A8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D6E1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14:paraId="5DAA0F81" w14:textId="6EE8CA78" w:rsidR="007A3C25" w:rsidRPr="007D6E19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6021AF6A" w14:textId="05998DFD" w:rsidR="007A3C25" w:rsidRPr="007D6E19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14:paraId="07535066" w14:textId="25E4D796" w:rsidR="007A3C25" w:rsidRPr="007D6E19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>30 000 000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22401932" w14:textId="6FD325A2" w:rsidR="007A3C25" w:rsidRPr="006A2D85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>30 000 000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767F69D1" w14:textId="77777777" w:rsidR="007A3C25" w:rsidRPr="007A3C25" w:rsidRDefault="007A3C25" w:rsidP="007A3C25">
            <w:pPr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lang w:val="hy-AM"/>
              </w:rPr>
            </w:pPr>
            <w:r w:rsidRPr="007A3C2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Մարտկոցով հիդրավլիկ ունիվերսալ գործիք</w:t>
            </w:r>
          </w:p>
          <w:p w14:paraId="7C2E8977" w14:textId="77777777" w:rsidR="007A3C25" w:rsidRPr="007A3C25" w:rsidRDefault="007A3C25" w:rsidP="007A3C25">
            <w:pPr>
              <w:ind w:left="0" w:firstLine="0"/>
              <w:jc w:val="center"/>
              <w:rPr>
                <w:rFonts w:ascii="GHEA Grapalat" w:hAnsi="GHEA Grapalat" w:cs="Arial"/>
                <w:bCs/>
                <w:sz w:val="18"/>
                <w:lang w:val="hy-AM"/>
              </w:rPr>
            </w:pP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t xml:space="preserve">Գործիքի առավելագույն աշխատանքային ճնշում՝ 10,443 psi։  Կտրման բացվածքը առնվազն՝ 320մմ։  Քաշման հեռավորությունը՝ առնվազն՝ 16,4 դյույմ։ Բացման հեռավորությունը առնվազն՝ 380 մմ։ Բացման առավելագույն ուժ (EN 13204)՝ կն/տ 1860/ 189,7տ։ Տեսական կտրող ուժը՝ կն/տ  670/68,3։ Սեղմման ուժ՝ կՆ/ 87 / 8.9տ։ Քարշակման ուժը առնվազն՝ կՆ/տ 104 / 10.6։ Պաշտպանության աստիճանը՝ IP54։ Ձայնային ճնշման մակարդակը ոչ ավել՝ (1 մ-ում)՝ 73 dB(A)։ Հիդրավլիկ յուղի տեսակը՝ ISO-L HV VG 15/22։ Քաշը (ներառյալ սարքավորումը) առավելագույնը՝ 44,3 ֆունտ։ Չափերը (L x W x H): 35.4 x 10.6 x 10.7 դյույմ (շեղումը +/- 2 դույմ)։ </w:t>
            </w: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lastRenderedPageBreak/>
              <w:t xml:space="preserve">Ջերմաստիճանի միջակայք՝ -4-ից 131°F։ Քաշը ( մարտկոցով)՝ ոչ ավել 20,5 կգ։ Գործիքը ներառում է բարձր հզորության մարտկոց։ </w:t>
            </w: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br/>
              <w:t>Համապատասխանությունը՝ Դասակարգում EN 13204՝ CK43/380-J-20.5։  Կտրող հզորություն (EN 13204)՝ 1J, 2J, 3K, 4K, 5K: NFPA 1960 Համապատասխան.  Կտրող հզորություն (NFPA 1960) A7, B8, C8, D8, E8, F3։ HPF (Բարձր ձգողականություն)՝ 104 ԿՆ/10,6 տ։ LPF (ցածր մղման ուժ)՝ 79,7ԿՆ/8,1տ։ HSF (Բարձր սեղմման ուժ)՝ 42,5ԿՆ/4,3տ։ LSF (ցածր սեղմման ուժ)՝ 632,9 ԿՆ/3,4տ։</w:t>
            </w: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br/>
              <w:t xml:space="preserve">Գործիքը պետք է լինի նոր, չօգտագործված:  Լիցքավորված լինի գործարանային նյութով (յուղով)։ Մատակարարման հավաքածու՝ գործիքի անձնագիր և շահագործման ձեռնարկ (հայերեն կամ ռուսերեն), համապատասխանության վկայականներ (EN, ISO, GOST), մարտկոց և լիցքավորիչ։ Գործիքը հնարավոր է լիցքավորել առանց մարտկոցը գործիքի վրայից հանելու։   Փաթեթավորման և տեղափոխման պահանջներ՝ գործարանային </w:t>
            </w: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lastRenderedPageBreak/>
              <w:t xml:space="preserve">փաթեթավորում՝ խոնավությունից և մեխանիկական վնասվածքներից պաշտպանելու համար։ Գործիքի անձնագիրը պետք է ներառի մոդելը, արտադրության ամսաթիվը և սերիական համարը։  Երաշխիքային սպասարկում՝ առնվազն 12 ամիս։  Մատակարարը ապրանքը նախապես պետք է համաձայնեցնի պատվիրատուի հետ, իսկ մատակարարելուց ապրանքի բեռնաթափումը իրականացնի իր ուժերով։ Մատակարարը պետք է ներկայացնի հավաստագիր կամ իրավազորման նամակ արտադրողից։ </w:t>
            </w:r>
          </w:p>
          <w:p w14:paraId="205C88FA" w14:textId="77777777" w:rsidR="007A3C25" w:rsidRPr="007A3C25" w:rsidRDefault="007A3C25" w:rsidP="007A3C25">
            <w:pPr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lang w:val="hy-AM"/>
              </w:rPr>
            </w:pPr>
            <w:r w:rsidRPr="007A3C2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Կցված նկարը կրում է տեղեկատվական բնույթ։</w:t>
            </w:r>
          </w:p>
          <w:p w14:paraId="224E203F" w14:textId="77777777" w:rsidR="007A3C25" w:rsidRPr="007A3C25" w:rsidRDefault="007A3C25" w:rsidP="007A3C25">
            <w:pPr>
              <w:ind w:left="0" w:firstLine="0"/>
              <w:jc w:val="center"/>
              <w:rPr>
                <w:rFonts w:ascii="GHEA Grapalat" w:hAnsi="GHEA Grapalat"/>
                <w:b/>
                <w:sz w:val="18"/>
              </w:rPr>
            </w:pPr>
            <w:r w:rsidRPr="007A3C25">
              <w:rPr>
                <w:rFonts w:ascii="GHEA Grapalat" w:hAnsi="GHEA Grapalat"/>
                <w:b/>
                <w:sz w:val="18"/>
              </w:rPr>
              <w:t>Ապրանքի կամ գույքի նկարը</w:t>
            </w:r>
          </w:p>
          <w:p w14:paraId="1013593A" w14:textId="39A5A7C0" w:rsidR="007A3C25" w:rsidRPr="007A3C25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 w:rsidRPr="007A3C25">
              <w:rPr>
                <w:rFonts w:ascii="GHEA Grapalat" w:hAnsi="GHEA Grapalat"/>
                <w:noProof/>
                <w:sz w:val="18"/>
              </w:rPr>
              <w:drawing>
                <wp:inline distT="0" distB="0" distL="0" distR="0" wp14:anchorId="23213B4E" wp14:editId="3861FA20">
                  <wp:extent cx="1056967" cy="28238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7714"/>
                          <a:stretch/>
                        </pic:blipFill>
                        <pic:spPr bwMode="auto">
                          <a:xfrm>
                            <a:off x="0" y="0"/>
                            <a:ext cx="1073596" cy="286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9AC15B" w14:textId="77777777" w:rsidR="007A3C25" w:rsidRPr="007A3C25" w:rsidRDefault="007A3C25" w:rsidP="007A3C25">
            <w:pPr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lang w:val="hy-AM"/>
              </w:rPr>
            </w:pPr>
            <w:r w:rsidRPr="007A3C25">
              <w:rPr>
                <w:rFonts w:ascii="GHEA Grapalat" w:hAnsi="GHEA Grapalat" w:cs="Arial"/>
                <w:b/>
                <w:bCs/>
                <w:sz w:val="18"/>
                <w:lang w:val="hy-AM"/>
              </w:rPr>
              <w:lastRenderedPageBreak/>
              <w:t>Մարտկոցով հիդրավլիկ ունիվերսալ գործիք</w:t>
            </w:r>
          </w:p>
          <w:p w14:paraId="6DAE46D5" w14:textId="77777777" w:rsidR="007A3C25" w:rsidRPr="007A3C25" w:rsidRDefault="007A3C25" w:rsidP="007A3C25">
            <w:pPr>
              <w:ind w:left="0" w:firstLine="0"/>
              <w:jc w:val="center"/>
              <w:rPr>
                <w:rFonts w:ascii="GHEA Grapalat" w:hAnsi="GHEA Grapalat" w:cs="Arial"/>
                <w:bCs/>
                <w:sz w:val="18"/>
                <w:lang w:val="hy-AM"/>
              </w:rPr>
            </w:pP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t xml:space="preserve">Գործիքի առավելագույն աշխատանքային ճնշում՝ 10,443 psi։  Կտրման բացվածքը առնվազն՝ 320մմ։  Քաշման հեռավորությունը՝ առնվազն՝ 16,4 դյույմ։ Բացման հեռավորությունը առնվազն՝ 380 մմ։ Բացման առավելագույն ուժ (EN 13204)՝ կն/տ 1860/ 189,7տ։ Տեսական կտրող ուժը՝ կն/տ  670/68,3։ Սեղմման ուժ՝ կՆ/ 87 / 8.9տ։ Քարշակման ուժը առնվազն՝ կՆ/տ 104 / 10.6։ Պաշտպանության աստիճանը՝ IP54։ Ձայնային ճնշման մակարդակը ոչ ավել՝ (1 մ-ում)՝ 73 dB(A)։ Հիդրավլիկ յուղի տեսակը՝ ISO-L HV VG 15/22։ Քաշը (ներառյալ սարքավորումը) առավելագույնը՝ 44,3 ֆունտ։ Չափերը (L x W x H): 35.4 x 10.6 x 10.7 դյույմ (շեղումը +/- 2 դույմ)։ </w:t>
            </w: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lastRenderedPageBreak/>
              <w:t xml:space="preserve">Ջերմաստիճանի միջակայք՝ -4-ից 131°F։ Քաշը ( մարտկոցով)՝ ոչ ավել 20,5 կգ։ Գործիքը ներառում է բարձր հզորության մարտկոց։ </w:t>
            </w: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br/>
              <w:t>Համապատասխանությունը՝ Դասակարգում EN 13204՝ CK43/380-J-20.5։  Կտրող հզորություն (EN 13204)՝ 1J, 2J, 3K, 4K, 5K: NFPA 1960 Համապատասխան.  Կտրող հզորություն (NFPA 1960) A7, B8, C8, D8, E8, F3։ HPF (Բարձր ձգողականություն)՝ 104 ԿՆ/10,6 տ։ LPF (ցածր մղման ուժ)՝ 79,7ԿՆ/8,1տ։ HSF (Բարձր սեղմման ուժ)՝ 42,5ԿՆ/4,3տ։ LSF (ցածր սեղմման ուժ)՝ 632,9 ԿՆ/3,4տ։</w:t>
            </w: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br/>
              <w:t xml:space="preserve">Գործիքը պետք է լինի նոր, չօգտագործված:  Լիցքավորված լինի գործարանային նյութով (յուղով)։ Մատակարարման հավաքածու՝ գործիքի անձնագիր և շահագործման ձեռնարկ (հայերեն կամ ռուսերեն), համապատասխանության վկայականներ (EN, ISO, GOST), մարտկոց և լիցքավորիչ։ Գործիքը հնարավոր է լիցքավորել առանց մարտկոցը գործիքի վրայից հանելու։   Փաթեթավորման և տեղափոխման պահանջներ՝ գործարանային </w:t>
            </w:r>
            <w:r w:rsidRPr="007A3C25">
              <w:rPr>
                <w:rFonts w:ascii="GHEA Grapalat" w:hAnsi="GHEA Grapalat" w:cs="Arial"/>
                <w:bCs/>
                <w:sz w:val="18"/>
                <w:lang w:val="hy-AM"/>
              </w:rPr>
              <w:lastRenderedPageBreak/>
              <w:t xml:space="preserve">փաթեթավորում՝ խոնավությունից և մեխանիկական վնասվածքներից պաշտպանելու համար։ Գործիքի անձնագիրը պետք է ներառի մոդելը, արտադրության ամսաթիվը և սերիական համարը։  Երաշխիքային սպասարկում՝ առնվազն 12 ամիս։  Մատակարարը ապրանքը նախապես պետք է համաձայնեցնի պատվիրատուի հետ, իսկ մատակարարելուց ապրանքի բեռնաթափումը իրականացնի իր ուժերով։ Մատակարարը պետք է ներկայացնի հավաստագիր կամ իրավազորման նամակ արտադրողից։ </w:t>
            </w:r>
          </w:p>
          <w:p w14:paraId="51E04ECA" w14:textId="77777777" w:rsidR="007A3C25" w:rsidRPr="007A3C25" w:rsidRDefault="007A3C25" w:rsidP="007A3C25">
            <w:pPr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lang w:val="hy-AM"/>
              </w:rPr>
            </w:pPr>
            <w:r w:rsidRPr="007A3C2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Կցված նկարը կրում է տեղեկատվական բնույթ։</w:t>
            </w:r>
          </w:p>
          <w:p w14:paraId="78B03379" w14:textId="77777777" w:rsidR="007A3C25" w:rsidRPr="007A3C25" w:rsidRDefault="007A3C25" w:rsidP="007A3C25">
            <w:pPr>
              <w:ind w:left="0" w:firstLine="0"/>
              <w:jc w:val="center"/>
              <w:rPr>
                <w:rFonts w:ascii="GHEA Grapalat" w:hAnsi="GHEA Grapalat"/>
                <w:b/>
                <w:sz w:val="18"/>
              </w:rPr>
            </w:pPr>
            <w:r w:rsidRPr="007A3C25">
              <w:rPr>
                <w:rFonts w:ascii="GHEA Grapalat" w:hAnsi="GHEA Grapalat"/>
                <w:b/>
                <w:sz w:val="18"/>
              </w:rPr>
              <w:t>Ապրանքի կամ գույքի նկարը</w:t>
            </w:r>
          </w:p>
          <w:p w14:paraId="5152B32D" w14:textId="7A7B8F7B" w:rsidR="007A3C25" w:rsidRPr="007A3C25" w:rsidRDefault="007A3C25" w:rsidP="007A3C2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 w:rsidRPr="007A3C25">
              <w:rPr>
                <w:rFonts w:ascii="GHEA Grapalat" w:hAnsi="GHEA Grapalat"/>
                <w:noProof/>
                <w:sz w:val="18"/>
              </w:rPr>
              <w:drawing>
                <wp:inline distT="0" distB="0" distL="0" distR="0" wp14:anchorId="713C64A8" wp14:editId="6F6B10F4">
                  <wp:extent cx="1037590" cy="28229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7714"/>
                          <a:stretch/>
                        </pic:blipFill>
                        <pic:spPr bwMode="auto">
                          <a:xfrm>
                            <a:off x="0" y="0"/>
                            <a:ext cx="1061137" cy="288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C25" w:rsidRPr="00030D7B" w14:paraId="790A8D3A" w14:textId="77777777" w:rsidTr="00CB1D4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D394AC" w14:textId="7F621B40" w:rsidR="007A3C25" w:rsidRPr="00030D7B" w:rsidRDefault="007A3C25" w:rsidP="007A3C25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14:paraId="08FB4F59" w14:textId="4235F4CD" w:rsidR="007A3C25" w:rsidRPr="008F5F26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7D6E19">
              <w:rPr>
                <w:rFonts w:ascii="GHEA Grapalat" w:hAnsi="GHEA Grapalat"/>
                <w:sz w:val="18"/>
              </w:rPr>
              <w:t>Օդի բալոններ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030D7B">
              <w:rPr>
                <w:rFonts w:ascii="GHEA Grapalat" w:hAnsi="GHEA Grapalat"/>
                <w:sz w:val="18"/>
              </w:rPr>
              <w:t xml:space="preserve">CPV-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D6E19">
              <w:rPr>
                <w:rFonts w:ascii="GHEA Grapalat" w:hAnsi="GHEA Grapalat"/>
                <w:sz w:val="18"/>
              </w:rPr>
              <w:t>44611110/1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2C1FBA09" w14:textId="0C01B573" w:rsidR="007A3C25" w:rsidRPr="007D6E19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14:paraId="5830C7A8" w14:textId="71730C99" w:rsidR="007A3C25" w:rsidRPr="007D6E19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62685072" w14:textId="0D0C8E8E" w:rsidR="007A3C25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14:paraId="56E30C24" w14:textId="2499422F" w:rsidR="007A3C25" w:rsidRPr="007D6E19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>31 920 000</w:t>
            </w: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ab/>
              <w:t>31 920 000100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5F559C0A" w14:textId="05A1FF5F" w:rsidR="007A3C25" w:rsidRPr="006A2D85" w:rsidRDefault="007A3C25" w:rsidP="007A3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6E19">
              <w:rPr>
                <w:rFonts w:ascii="GHEA Grapalat" w:hAnsi="GHEA Grapalat"/>
                <w:sz w:val="18"/>
                <w:szCs w:val="18"/>
                <w:lang w:val="hy-AM"/>
              </w:rPr>
              <w:t>31 920 000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4A703166" w14:textId="77777777" w:rsidR="007A3C25" w:rsidRPr="007A3C25" w:rsidRDefault="007A3C25" w:rsidP="007A3C25">
            <w:pPr>
              <w:ind w:left="-14" w:firstLine="14"/>
              <w:jc w:val="center"/>
              <w:rPr>
                <w:rFonts w:ascii="GHEA Grapalat" w:hAnsi="GHEA Grapalat" w:cs="Arial"/>
                <w:bCs/>
                <w:sz w:val="20"/>
                <w:szCs w:val="32"/>
              </w:rPr>
            </w:pP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>Համատեղելիություն՝ լայնորեն օգտագործվող սարքերի հետ (օրինակ՝ Dräger, MSA, Matisec)։ Աշխատանքային ջերմաստիճանի միջակայք՝ -40°C-ից մինչև +60°C (նվազագույնը)։ Բալոնի տեսակը՝  մետաղակոմպոզիտային։ Պիտանելիության ժամկետը ոչ պակաս՝ 20 տարի։ Տարողունակությունը 6,8, 8 կամ 9 լիտր։ Պայթյունային ճնշումը ոչ պակաս 900մթն</w:t>
            </w:r>
            <w:r w:rsidRPr="007A3C25">
              <w:rPr>
                <w:rFonts w:ascii="Cambria Math" w:hAnsi="Cambria Math" w:cs="Cambria Math"/>
                <w:bCs/>
                <w:sz w:val="20"/>
                <w:szCs w:val="32"/>
                <w:lang w:val="hy-AM"/>
              </w:rPr>
              <w:t>․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։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Տրամագիծը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ոչ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ավել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180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մմ։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Երկարությունը՝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ոչ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ավել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530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մմ։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Բալոնի ձգվող պարուրակի չափսը ISO M18x1,5-6H: Քաշը դատարկ վիճակում ոչ ավել 6,1կգ։ Գործարանային սերտիֆիկատ՝ EN 12245։ Գործարանային պիտակավորված փաթեթավորմամբ։ Գործարանային երաշխիք՝ 5 տարի։ Արտադրման տարեթիվը՝ ոչ ուշ քան 2025 թվականի։ Կոմպլեկտը ներառում է փականը, որը 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lastRenderedPageBreak/>
              <w:t xml:space="preserve">համապատասխանում է EN 144 ստանդարտին։ Հավաստագիր արտադրողից այն մասին, որ բալոնը համապատասխանում է PED 97/23/EC մոդուլի B-EC տիպի փորձաքննության պահանջներին։ Պիտակավորումը գործարանային թաղանթի տակ։ Մատակարարը ապրանքը նախապես պետք է համաձայնեցնի պատվիրատուի հետ, իսկ մատակարարելուց ապրանքի բեռնաթափումը իրականացնի իր ուժերով։ 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</w:rPr>
              <w:t xml:space="preserve">Մատակարարը պետք է ներկայացնի հավաստագիր կամ իրավազորման նամակ արտադրողից։ </w:t>
            </w:r>
          </w:p>
          <w:p w14:paraId="4D23F177" w14:textId="77777777" w:rsidR="007A3C25" w:rsidRPr="007A3C25" w:rsidRDefault="007A3C25" w:rsidP="007A3C25">
            <w:pPr>
              <w:ind w:left="-14" w:firstLine="14"/>
              <w:jc w:val="center"/>
              <w:rPr>
                <w:rFonts w:ascii="GHEA Grapalat" w:hAnsi="GHEA Grapalat" w:cs="Arial"/>
                <w:b/>
                <w:bCs/>
                <w:sz w:val="20"/>
                <w:szCs w:val="32"/>
              </w:rPr>
            </w:pPr>
            <w:r w:rsidRPr="007A3C25">
              <w:rPr>
                <w:rFonts w:ascii="GHEA Grapalat" w:hAnsi="GHEA Grapalat" w:cs="Arial"/>
                <w:b/>
                <w:bCs/>
                <w:sz w:val="20"/>
                <w:szCs w:val="32"/>
              </w:rPr>
              <w:t>Կցված նկարը կրում է տեղեկատվական բնույթ։</w:t>
            </w:r>
          </w:p>
          <w:p w14:paraId="76F35325" w14:textId="77777777" w:rsidR="007A3C25" w:rsidRPr="007A3C25" w:rsidRDefault="007A3C25" w:rsidP="007A3C25">
            <w:pPr>
              <w:ind w:left="-14" w:firstLine="14"/>
              <w:jc w:val="center"/>
              <w:rPr>
                <w:rFonts w:ascii="GHEA Grapalat" w:hAnsi="GHEA Grapalat"/>
                <w:sz w:val="20"/>
              </w:rPr>
            </w:pPr>
            <w:r w:rsidRPr="007A3C25">
              <w:rPr>
                <w:noProof/>
                <w:sz w:val="20"/>
              </w:rPr>
              <w:drawing>
                <wp:inline distT="0" distB="0" distL="0" distR="0" wp14:anchorId="6FC9A860" wp14:editId="1E31EA98">
                  <wp:extent cx="1085850" cy="1719221"/>
                  <wp:effectExtent l="0" t="0" r="0" b="0"/>
                  <wp:docPr id="11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043" cy="172744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7250191A" w14:textId="46B7AE4E" w:rsidR="007A3C25" w:rsidRPr="007A3C25" w:rsidRDefault="007A3C25" w:rsidP="007A3C25">
            <w:pPr>
              <w:tabs>
                <w:tab w:val="left" w:pos="1248"/>
              </w:tabs>
              <w:spacing w:before="0" w:after="0"/>
              <w:ind w:left="-14" w:firstLine="14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0298AAE" w14:textId="77777777" w:rsidR="007A3C25" w:rsidRPr="007A3C25" w:rsidRDefault="007A3C25" w:rsidP="007A3C25">
            <w:pPr>
              <w:ind w:left="-14" w:firstLine="14"/>
              <w:jc w:val="center"/>
              <w:rPr>
                <w:rFonts w:ascii="GHEA Grapalat" w:hAnsi="GHEA Grapalat" w:cs="Arial"/>
                <w:bCs/>
                <w:sz w:val="20"/>
                <w:szCs w:val="32"/>
              </w:rPr>
            </w:pP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lastRenderedPageBreak/>
              <w:t>Համատեղելիություն՝ լայնորեն օգտագործվող սարքերի հետ (օրինակ՝ Dräger, MSA, Matisec)։ Աշխատանքային ջերմաստիճանի միջակայք՝ -40°C-ից մինչև +60°C (նվազագույնը)։ Բալոնի տեսակը՝  մետաղակոմպոզիտային։ Պիտանելիության ժամկետը ոչ պակաս՝ 20 տարի։ Տարողունակությունը 6,8, 8 կամ 9 լիտր։ Պայթյունային ճնշումը ոչ պակաս 900մթն</w:t>
            </w:r>
            <w:r w:rsidRPr="007A3C25">
              <w:rPr>
                <w:rFonts w:ascii="Cambria Math" w:hAnsi="Cambria Math" w:cs="Cambria Math"/>
                <w:bCs/>
                <w:sz w:val="20"/>
                <w:szCs w:val="32"/>
                <w:lang w:val="hy-AM"/>
              </w:rPr>
              <w:t>․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։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Տրամագիծը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ոչ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ավել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180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մմ։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Երկարությունը՝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ոչ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ավել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530</w:t>
            </w:r>
            <w:r w:rsidRPr="007A3C25">
              <w:rPr>
                <w:rFonts w:ascii="GHEA Grapalat" w:hAnsi="GHEA Grapalat" w:cs="GHEA Grapalat"/>
                <w:bCs/>
                <w:sz w:val="20"/>
                <w:szCs w:val="32"/>
                <w:lang w:val="hy-AM"/>
              </w:rPr>
              <w:t>մմ։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t xml:space="preserve"> Բալոնի ձգվող պարուրակի չափսը ISO M18x1,5-6H: Քաշը դատարկ վիճակում ոչ ավել 6,1կգ։ Գործարանային սերտիֆիկատ՝ EN 12245։ Գործարանային պիտակավորված փաթեթավորմամբ։ Գործարանային երաշխիք՝ 5 տարի։ Արտադրման տարեթիվը՝ ոչ ուշ քան 2025 թվականի։ Կոմպլեկտը ներառում է փականը, որը 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  <w:lang w:val="hy-AM"/>
              </w:rPr>
              <w:lastRenderedPageBreak/>
              <w:t xml:space="preserve">համապատասխանում է EN 144 ստանդարտին։ Հավաստագիր արտադրողից այն մասին, որ բալոնը համապատասխանում է PED 97/23/EC մոդուլի B-EC տիպի փորձաքննության պահանջներին։ Պիտակավորումը գործարանային թաղանթի տակ։ Մատակարարը ապրանքը նախապես պետք է համաձայնեցնի պատվիրատուի հետ, իսկ մատակարարելուց ապրանքի բեռնաթափումը իրականացնի իր ուժերով։ </w:t>
            </w:r>
            <w:r w:rsidRPr="007A3C25">
              <w:rPr>
                <w:rFonts w:ascii="GHEA Grapalat" w:hAnsi="GHEA Grapalat" w:cs="Arial"/>
                <w:bCs/>
                <w:sz w:val="20"/>
                <w:szCs w:val="32"/>
              </w:rPr>
              <w:t xml:space="preserve">Մատակարարը պետք է ներկայացնի հավաստագիր կամ իրավազորման նամակ արտադրողից։ </w:t>
            </w:r>
          </w:p>
          <w:p w14:paraId="54B9F520" w14:textId="77777777" w:rsidR="007A3C25" w:rsidRPr="007A3C25" w:rsidRDefault="007A3C25" w:rsidP="007A3C25">
            <w:pPr>
              <w:ind w:left="-14" w:firstLine="14"/>
              <w:jc w:val="center"/>
              <w:rPr>
                <w:rFonts w:ascii="GHEA Grapalat" w:hAnsi="GHEA Grapalat" w:cs="Arial"/>
                <w:b/>
                <w:bCs/>
                <w:sz w:val="20"/>
                <w:szCs w:val="32"/>
              </w:rPr>
            </w:pPr>
            <w:r w:rsidRPr="007A3C25">
              <w:rPr>
                <w:rFonts w:ascii="GHEA Grapalat" w:hAnsi="GHEA Grapalat" w:cs="Arial"/>
                <w:b/>
                <w:bCs/>
                <w:sz w:val="20"/>
                <w:szCs w:val="32"/>
              </w:rPr>
              <w:t>Կցված նկարը կրում է տեղեկատվական բնույթ։</w:t>
            </w:r>
          </w:p>
          <w:p w14:paraId="7CFDA424" w14:textId="77777777" w:rsidR="007A3C25" w:rsidRPr="007A3C25" w:rsidRDefault="007A3C25" w:rsidP="007A3C25">
            <w:pPr>
              <w:ind w:left="-14" w:firstLine="14"/>
              <w:jc w:val="center"/>
              <w:rPr>
                <w:rFonts w:ascii="GHEA Grapalat" w:hAnsi="GHEA Grapalat"/>
                <w:sz w:val="20"/>
              </w:rPr>
            </w:pPr>
            <w:r w:rsidRPr="007A3C25">
              <w:rPr>
                <w:noProof/>
                <w:sz w:val="20"/>
              </w:rPr>
              <w:drawing>
                <wp:inline distT="0" distB="0" distL="0" distR="0" wp14:anchorId="298EE74D" wp14:editId="173B0F16">
                  <wp:extent cx="1052830" cy="1719221"/>
                  <wp:effectExtent l="0" t="0" r="0" b="0"/>
                  <wp:docPr id="3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022" cy="17391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05DFE2C0" w14:textId="0A1AF1B7" w:rsidR="007A3C25" w:rsidRPr="007A3C25" w:rsidRDefault="007A3C25" w:rsidP="007A3C25">
            <w:pPr>
              <w:spacing w:before="0" w:after="0"/>
              <w:ind w:left="-14" w:firstLine="14"/>
              <w:jc w:val="center"/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</w:pPr>
          </w:p>
        </w:tc>
      </w:tr>
      <w:tr w:rsidR="00235C0F" w:rsidRPr="00030D7B" w14:paraId="4B8BC031" w14:textId="77777777" w:rsidTr="00050641">
        <w:trPr>
          <w:trHeight w:val="169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451180EC" w14:textId="72A71EBC" w:rsidR="00235C0F" w:rsidRPr="00A76924" w:rsidRDefault="00DC5C9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lastRenderedPageBreak/>
              <w:br w:type="page"/>
            </w:r>
            <w:r w:rsidR="009A7008"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="009A7008"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621414" w14:paraId="24C3B0CB" w14:textId="77777777" w:rsidTr="00050641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621414" w14:paraId="075EEA57" w14:textId="77777777" w:rsidTr="00050641">
        <w:trPr>
          <w:trHeight w:val="196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2283F5" w:rsidR="00235C0F" w:rsidRPr="000B2910" w:rsidRDefault="007D6E19" w:rsidP="007D6E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</w:t>
            </w:r>
            <w:r w:rsidRPr="007D6E1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.03.2026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6C32584" w:rsidR="00235C0F" w:rsidRPr="00E40A23" w:rsidRDefault="007D6E19" w:rsidP="001735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D6E1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20.03.2026</w:t>
            </w:r>
          </w:p>
        </w:tc>
      </w:tr>
      <w:tr w:rsidR="00235C0F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1938FA0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1B38829" w:rsidR="00235C0F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42A5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16.03.2026թ.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160BF03" w:rsidR="00235C0F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17</w:t>
            </w:r>
            <w:r w:rsidRPr="007D6E1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.03.2026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342A58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54044660" w:rsidR="00342A58" w:rsidRPr="00342A5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90505C6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19</w:t>
            </w:r>
            <w:r w:rsidRPr="00342A5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.03.2026թ.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0F5561AC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</w:t>
            </w:r>
            <w:r w:rsidRPr="007D6E1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.03.2026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342A58" w:rsidRPr="00EC30A8" w14:paraId="30B89418" w14:textId="77777777" w:rsidTr="00050641">
        <w:trPr>
          <w:trHeight w:val="54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0776DB4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42A58" w:rsidRPr="00EC30A8" w14:paraId="10DC4861" w14:textId="77777777" w:rsidTr="00050641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22"/>
            <w:shd w:val="clear" w:color="auto" w:fill="auto"/>
            <w:vAlign w:val="center"/>
          </w:tcPr>
          <w:p w14:paraId="1FD38684" w14:textId="76CE2B63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342A58" w:rsidRPr="00EC30A8" w14:paraId="3FD00E3A" w14:textId="77777777" w:rsidTr="00050641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67E5DBFB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8"/>
            <w:vMerge/>
            <w:shd w:val="clear" w:color="auto" w:fill="auto"/>
            <w:vAlign w:val="center"/>
          </w:tcPr>
          <w:p w14:paraId="7835142E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12"/>
            <w:shd w:val="clear" w:color="auto" w:fill="auto"/>
            <w:vAlign w:val="center"/>
          </w:tcPr>
          <w:p w14:paraId="27542D69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342A58" w:rsidRPr="00EC30A8" w14:paraId="4DA511EC" w14:textId="77777777" w:rsidTr="00050641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DBE5B3F" w14:textId="32344C45" w:rsidR="00342A58" w:rsidRPr="00E274C9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9720" w:type="dxa"/>
            <w:gridSpan w:val="30"/>
            <w:shd w:val="clear" w:color="auto" w:fill="auto"/>
            <w:vAlign w:val="center"/>
          </w:tcPr>
          <w:p w14:paraId="6ABF72D4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342A58" w:rsidRPr="00754604" w14:paraId="183E1C25" w14:textId="77777777" w:rsidTr="005A52AB">
        <w:trPr>
          <w:trHeight w:val="31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B8DBF1D" w14:textId="5BD9305B" w:rsidR="00342A5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67E9ABED" w14:textId="5985965A" w:rsidR="00342A58" w:rsidRPr="00754604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«Ավտոջան» ՍՊԸ</w:t>
            </w:r>
          </w:p>
        </w:tc>
        <w:tc>
          <w:tcPr>
            <w:tcW w:w="2630" w:type="dxa"/>
            <w:gridSpan w:val="12"/>
            <w:shd w:val="clear" w:color="auto" w:fill="auto"/>
            <w:vAlign w:val="center"/>
          </w:tcPr>
          <w:p w14:paraId="0A758EA0" w14:textId="79ABCDA9" w:rsidR="00342A58" w:rsidRPr="00754604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19 916 666</w:t>
            </w:r>
            <w:r w:rsidRPr="00E274C9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67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AED3656" w14:textId="4EFDCA80" w:rsidR="00342A58" w:rsidRPr="002606FC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3 983 333</w:t>
            </w:r>
            <w:r w:rsidRPr="00E274C9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33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94A7382" w14:textId="794E5EF2" w:rsidR="00342A58" w:rsidRPr="002606FC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23 900 000</w:t>
            </w:r>
          </w:p>
        </w:tc>
      </w:tr>
      <w:tr w:rsidR="00342A58" w:rsidRPr="00754604" w14:paraId="4407898F" w14:textId="77777777" w:rsidTr="005A52AB">
        <w:trPr>
          <w:trHeight w:val="31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367FB39F" w14:textId="70350298" w:rsidR="00342A5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5C1AB161" w14:textId="74E5DB20" w:rsidR="00342A58" w:rsidRPr="00570959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«Ալեռտո» ՍՊԸ</w:t>
            </w:r>
          </w:p>
        </w:tc>
        <w:tc>
          <w:tcPr>
            <w:tcW w:w="2630" w:type="dxa"/>
            <w:gridSpan w:val="12"/>
            <w:shd w:val="clear" w:color="auto" w:fill="auto"/>
            <w:vAlign w:val="center"/>
          </w:tcPr>
          <w:p w14:paraId="0713AF2F" w14:textId="4E9D70EF" w:rsidR="00342A58" w:rsidRPr="008069D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20 750 000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934427E" w14:textId="090266F5" w:rsidR="00342A5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4 150 000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4E799E5" w14:textId="3C346839" w:rsidR="00342A58" w:rsidRPr="008069D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24 900 000</w:t>
            </w:r>
          </w:p>
        </w:tc>
      </w:tr>
      <w:tr w:rsidR="00342A58" w:rsidRPr="00754604" w14:paraId="382947FB" w14:textId="77777777" w:rsidTr="005A52AB">
        <w:trPr>
          <w:trHeight w:val="31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044ACDEC" w14:textId="22BB3FDA" w:rsidR="00342A5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44CA8185" w14:textId="31145210" w:rsidR="00342A58" w:rsidRPr="00570959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«ՄԻՌՌՈՌՍ» ՍՊԸ</w:t>
            </w:r>
          </w:p>
        </w:tc>
        <w:tc>
          <w:tcPr>
            <w:tcW w:w="2630" w:type="dxa"/>
            <w:gridSpan w:val="12"/>
            <w:shd w:val="clear" w:color="auto" w:fill="auto"/>
            <w:vAlign w:val="center"/>
          </w:tcPr>
          <w:p w14:paraId="27D79A4B" w14:textId="418F146B" w:rsidR="00342A58" w:rsidRPr="008069D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21 000 000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546F3F5" w14:textId="290F322D" w:rsidR="00342A5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4 200 000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E09C722" w14:textId="4704B201" w:rsidR="00342A58" w:rsidRPr="008069D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25 200 000</w:t>
            </w:r>
          </w:p>
        </w:tc>
      </w:tr>
      <w:tr w:rsidR="00342A58" w:rsidRPr="00621414" w14:paraId="69EF614C" w14:textId="77777777" w:rsidTr="00050641">
        <w:trPr>
          <w:trHeight w:val="457"/>
        </w:trPr>
        <w:tc>
          <w:tcPr>
            <w:tcW w:w="1980" w:type="dxa"/>
            <w:gridSpan w:val="4"/>
            <w:shd w:val="clear" w:color="auto" w:fill="auto"/>
            <w:vAlign w:val="center"/>
          </w:tcPr>
          <w:p w14:paraId="018AC703" w14:textId="37EAE017" w:rsidR="00342A5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9"/>
            <w:shd w:val="clear" w:color="auto" w:fill="auto"/>
            <w:vAlign w:val="center"/>
          </w:tcPr>
          <w:p w14:paraId="4D8B0944" w14:textId="593CC247" w:rsidR="00342A58" w:rsidRPr="006B5194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274C9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ՀՀ ՆԳՆ ԳՀԱՊՁԲ-2026/Ա-40 ծածկագրով գնման ընթացակարգը 1-ին չափաբաժնով համարվում են չկայացած, քանի որ ոչ մի հայտ չի ներկայացվել, ուստի հանձնաժողովը, հիմք ընդունելով  «Գնումների մասին» ՀՀ օրենքի 37-րդ հոդվածի 1-ին մասի 3-րդ կետը գնման ընթացակարգը վերոգրյալ չափաբաժնով հայտարարում է չկայացած:</w:t>
            </w:r>
          </w:p>
        </w:tc>
      </w:tr>
      <w:tr w:rsidR="00342A58" w:rsidRPr="00621414" w14:paraId="700CD07F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10ED0606" w14:textId="77777777" w:rsidR="00342A58" w:rsidRPr="006B5194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42A58" w:rsidRPr="00EC30A8" w14:paraId="521126E1" w14:textId="77777777" w:rsidTr="00050641"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42A58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42A58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342A58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42A58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42A58" w:rsidRPr="00EC30A8" w14:paraId="522ACAFB" w14:textId="77777777" w:rsidTr="00050641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42A58" w:rsidRPr="00EC30A8" w:rsidRDefault="00342A58" w:rsidP="00342A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8"/>
            <w:shd w:val="clear" w:color="auto" w:fill="auto"/>
            <w:vAlign w:val="center"/>
          </w:tcPr>
          <w:p w14:paraId="71AB42B3" w14:textId="77777777" w:rsidR="00342A58" w:rsidRPr="00EC30A8" w:rsidRDefault="00342A58" w:rsidP="00342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342A58" w:rsidRPr="00EC30A8" w14:paraId="617248CD" w14:textId="77777777" w:rsidTr="00050641">
        <w:trPr>
          <w:trHeight w:val="289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42A58" w:rsidRPr="00EC30A8" w14:paraId="1515C769" w14:textId="77777777" w:rsidTr="00050641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42A58" w:rsidRPr="00EC30A8" w:rsidRDefault="00342A58" w:rsidP="00342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3ACE409" w:rsidR="00342A58" w:rsidRPr="001D08B8" w:rsidRDefault="00C755C4" w:rsidP="00342A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16.04</w:t>
            </w:r>
            <w:r w:rsidR="00342A5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.2026թ..</w:t>
            </w:r>
          </w:p>
        </w:tc>
      </w:tr>
      <w:tr w:rsidR="00342A58" w:rsidRPr="00EC30A8" w14:paraId="71BEA872" w14:textId="77777777" w:rsidTr="00050641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342A58" w:rsidRPr="00C755C4" w:rsidRDefault="00342A58" w:rsidP="00342A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342A58" w:rsidRPr="00EC30A8" w:rsidRDefault="00342A58" w:rsidP="00342A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342A58" w:rsidRPr="005A33B0" w14:paraId="04C80107" w14:textId="77777777" w:rsidTr="00050641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346DEE7C" w:rsidR="00342A58" w:rsidRPr="007C05CA" w:rsidRDefault="00C755C4" w:rsidP="00C755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17.04.2026թ..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D2FA706" w:rsidR="00342A58" w:rsidRPr="00F008E4" w:rsidRDefault="00C755C4" w:rsidP="00342A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27.04.2026թ..</w:t>
            </w:r>
          </w:p>
        </w:tc>
      </w:tr>
      <w:tr w:rsidR="00342A58" w:rsidRPr="005A33B0" w14:paraId="2254FA5C" w14:textId="77777777" w:rsidTr="00050641">
        <w:trPr>
          <w:trHeight w:val="344"/>
        </w:trPr>
        <w:tc>
          <w:tcPr>
            <w:tcW w:w="801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342A58" w:rsidRPr="00EC30A8" w:rsidRDefault="00342A58" w:rsidP="00342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011B4FA" w:rsidR="00342A58" w:rsidRPr="00EC30A8" w:rsidRDefault="00C755C4" w:rsidP="00342A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05.05</w:t>
            </w:r>
            <w:r w:rsidR="00342A5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342A58" w:rsidRPr="00914DD5" w14:paraId="2112129F" w14:textId="77777777" w:rsidTr="00050641">
        <w:trPr>
          <w:trHeight w:val="344"/>
        </w:trPr>
        <w:tc>
          <w:tcPr>
            <w:tcW w:w="801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342A58" w:rsidRPr="00912496" w:rsidRDefault="00342A58" w:rsidP="00342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765CF70A" w:rsidR="00342A58" w:rsidRPr="00912496" w:rsidRDefault="00912496" w:rsidP="00342A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15</w:t>
            </w:r>
            <w:r w:rsidR="00C755C4"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.05</w:t>
            </w:r>
            <w:r w:rsidR="00342A58"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342A58" w:rsidRPr="00EC30A8" w14:paraId="0682C6BE" w14:textId="77777777" w:rsidTr="00050641">
        <w:trPr>
          <w:trHeight w:val="344"/>
        </w:trPr>
        <w:tc>
          <w:tcPr>
            <w:tcW w:w="801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42A58" w:rsidRPr="00912496" w:rsidRDefault="00342A58" w:rsidP="00342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0B8E898" w:rsidR="00342A58" w:rsidRPr="00912496" w:rsidRDefault="00912496" w:rsidP="00342A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18</w:t>
            </w:r>
            <w:r w:rsidR="00C755C4"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.05</w:t>
            </w:r>
            <w:r w:rsidR="00342A58"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342A58" w:rsidRPr="00EC30A8" w14:paraId="79A64497" w14:textId="77777777" w:rsidTr="00912496">
        <w:trPr>
          <w:trHeight w:val="288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620F225D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42A58" w:rsidRPr="00EC30A8" w14:paraId="4E4EA255" w14:textId="77777777" w:rsidTr="00C71B9D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20" w:type="dxa"/>
            <w:gridSpan w:val="27"/>
            <w:shd w:val="clear" w:color="auto" w:fill="auto"/>
            <w:vAlign w:val="center"/>
          </w:tcPr>
          <w:p w14:paraId="0A5086C3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342A58" w:rsidRPr="00EC30A8" w14:paraId="11F19FA1" w14:textId="77777777" w:rsidTr="00C71B9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5"/>
            <w:vMerge/>
            <w:shd w:val="clear" w:color="auto" w:fill="auto"/>
            <w:vAlign w:val="center"/>
          </w:tcPr>
          <w:p w14:paraId="2856C5C6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5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342A58" w:rsidRPr="00EC30A8" w14:paraId="4DC53241" w14:textId="77777777" w:rsidTr="00C71B9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5"/>
            <w:vMerge/>
            <w:shd w:val="clear" w:color="auto" w:fill="auto"/>
            <w:vAlign w:val="center"/>
          </w:tcPr>
          <w:p w14:paraId="078A8417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5" w:type="dxa"/>
            <w:gridSpan w:val="7"/>
            <w:vMerge/>
            <w:shd w:val="clear" w:color="auto" w:fill="auto"/>
            <w:vAlign w:val="center"/>
          </w:tcPr>
          <w:p w14:paraId="67FA13FC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6"/>
            <w:vMerge/>
            <w:shd w:val="clear" w:color="auto" w:fill="auto"/>
            <w:vAlign w:val="center"/>
          </w:tcPr>
          <w:p w14:paraId="7FDD9C22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14:paraId="73BBD2A3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4"/>
            <w:vMerge/>
            <w:shd w:val="clear" w:color="auto" w:fill="auto"/>
            <w:vAlign w:val="center"/>
          </w:tcPr>
          <w:p w14:paraId="078CB506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342A58" w:rsidRPr="00EC30A8" w14:paraId="75FDA7D8" w14:textId="77777777" w:rsidTr="00C71B9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342A58" w:rsidRPr="00626694" w14:paraId="1E28D31D" w14:textId="77777777" w:rsidTr="008069D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FE93823" w:rsidR="00342A58" w:rsidRPr="006A2D85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526" w:type="dxa"/>
            <w:gridSpan w:val="5"/>
            <w:shd w:val="clear" w:color="auto" w:fill="auto"/>
            <w:vAlign w:val="center"/>
          </w:tcPr>
          <w:p w14:paraId="391CD0D1" w14:textId="6B2A9563" w:rsidR="00342A58" w:rsidRPr="00EC30A8" w:rsidRDefault="00C755C4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755C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«Ավտոջան» ՍՊԸ</w:t>
            </w:r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2183B64C" w14:textId="464EAA64" w:rsidR="00342A58" w:rsidRPr="00626694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ԳՀԱՊՁԲ-2026/Ա-40</w:t>
            </w:r>
          </w:p>
        </w:tc>
        <w:tc>
          <w:tcPr>
            <w:tcW w:w="1355" w:type="dxa"/>
            <w:gridSpan w:val="6"/>
            <w:shd w:val="clear" w:color="auto" w:fill="auto"/>
            <w:vAlign w:val="center"/>
          </w:tcPr>
          <w:p w14:paraId="54F54951" w14:textId="627E5B04" w:rsidR="00342A58" w:rsidRPr="00912496" w:rsidRDefault="00912496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18</w:t>
            </w:r>
            <w:r w:rsidR="00C755C4"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.05</w:t>
            </w:r>
            <w:r w:rsidR="00342A58"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610A7BBF" w14:textId="4FC4EF9E" w:rsidR="00342A58" w:rsidRPr="00912496" w:rsidRDefault="00C755C4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Պայմանագիրն ուժի մեջ մտնելուց հետո՝ մինչև 60 օրվա ընթացքում</w:t>
            </w:r>
          </w:p>
        </w:tc>
        <w:tc>
          <w:tcPr>
            <w:tcW w:w="757" w:type="dxa"/>
            <w:gridSpan w:val="4"/>
            <w:shd w:val="clear" w:color="auto" w:fill="auto"/>
            <w:vAlign w:val="center"/>
          </w:tcPr>
          <w:p w14:paraId="6A3A27A0" w14:textId="77777777" w:rsidR="00342A58" w:rsidRPr="0091249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0AB496EF" w:rsidR="00342A58" w:rsidRPr="00912496" w:rsidRDefault="00C755C4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23 900 000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4200771A" w:rsidR="00342A58" w:rsidRPr="00912496" w:rsidRDefault="00C755C4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91249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23 900 000</w:t>
            </w:r>
          </w:p>
        </w:tc>
      </w:tr>
      <w:tr w:rsidR="00342A58" w:rsidRPr="00EC30A8" w14:paraId="41E4ED39" w14:textId="77777777" w:rsidTr="00050641">
        <w:trPr>
          <w:trHeight w:val="150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265AE84" w14:textId="0F645641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42A58" w:rsidRPr="00EC30A8" w14:paraId="1F657639" w14:textId="77777777" w:rsidTr="00C71B9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342A58" w:rsidRPr="0067596F" w14:paraId="6F1BA40F" w14:textId="77777777" w:rsidTr="00C71B9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53108723" w:rsidR="00342A58" w:rsidRPr="008069D6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3852CB35" w:rsidR="00342A58" w:rsidRPr="00137E20" w:rsidRDefault="00C755C4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755C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«Ավտոջան» ՍՊԸ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0295B438" w:rsidR="00342A58" w:rsidRPr="00137E20" w:rsidRDefault="0067596F" w:rsidP="00675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67596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</w:t>
            </w:r>
            <w:r w:rsidRPr="0067596F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67596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67596F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Երևան</w:t>
            </w:r>
            <w:r w:rsidRPr="0067596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 w:rsidRPr="0067596F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Դավթաշեն</w:t>
            </w:r>
            <w:r w:rsidRPr="0067596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, 4-</w:t>
            </w:r>
            <w:r w:rsidRPr="0067596F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րդ</w:t>
            </w:r>
            <w:r w:rsidRPr="0067596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67596F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թաղամաս</w:t>
            </w:r>
            <w:r w:rsidRPr="0067596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, 46/4,</w:t>
            </w:r>
            <w:r w:rsidRPr="0067596F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Հեռ</w:t>
            </w:r>
            <w:r w:rsidRPr="0067596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.` +(374) 93819697,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0D90AEFC" w:rsidR="00342A58" w:rsidRPr="0067596F" w:rsidRDefault="00CA71D7" w:rsidP="00342A58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0" w:history="1">
              <w:r w:rsidR="0067596F" w:rsidRPr="002F44F1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manukyanstender@gmail.com</w:t>
              </w:r>
            </w:hyperlink>
            <w:r w:rsidR="0067596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11B5B0B6" w:rsidR="00342A58" w:rsidRPr="00570959" w:rsidRDefault="00621414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2050922342491001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58033A53" w:rsidR="00342A58" w:rsidRDefault="00621414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02318204</w:t>
            </w:r>
            <w:bookmarkStart w:id="0" w:name="_GoBack"/>
            <w:bookmarkEnd w:id="0"/>
          </w:p>
        </w:tc>
      </w:tr>
      <w:tr w:rsidR="00342A58" w:rsidRPr="0067596F" w14:paraId="496A046D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393BE26B" w14:textId="77777777" w:rsidR="00342A58" w:rsidRPr="00F008E4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42A58" w:rsidRPr="00621414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42A58" w:rsidRPr="00586193" w:rsidRDefault="00342A58" w:rsidP="00342A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42A58" w:rsidRPr="00EC30A8" w:rsidRDefault="00342A58" w:rsidP="00342A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342A58" w:rsidRPr="00621414" w14:paraId="485BF528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60FF974B" w14:textId="77777777" w:rsidR="00342A58" w:rsidRPr="00465C3A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42A58" w:rsidRPr="00621414" w14:paraId="7DB42300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0AD8E25E" w14:textId="303DA593" w:rsidR="00342A58" w:rsidRPr="00465C3A" w:rsidRDefault="00342A58" w:rsidP="00342A5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342A58" w:rsidRPr="00465C3A" w:rsidRDefault="00342A58" w:rsidP="00342A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42A58" w:rsidRPr="00465C3A" w:rsidRDefault="00342A58" w:rsidP="00342A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42A58" w:rsidRPr="00465C3A" w:rsidRDefault="00342A58" w:rsidP="00342A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42A58" w:rsidRPr="00465C3A" w:rsidRDefault="00342A58" w:rsidP="00342A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42A58" w:rsidRPr="00465C3A" w:rsidRDefault="00342A58" w:rsidP="00342A5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42A58" w:rsidRPr="00465C3A" w:rsidRDefault="00342A58" w:rsidP="00342A5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342A58" w:rsidRPr="00465C3A" w:rsidRDefault="00342A58" w:rsidP="00342A5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0472DAC0" w:rsidR="00342A58" w:rsidRPr="00137CA8" w:rsidRDefault="00342A58" w:rsidP="00342A5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11" w:history="1">
              <w:r w:rsidR="0093482C" w:rsidRPr="002F44F1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shtabrtp@mail.ru</w:t>
              </w:r>
            </w:hyperlink>
            <w:r w:rsidR="0093482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137C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:</w:t>
            </w:r>
          </w:p>
        </w:tc>
      </w:tr>
      <w:tr w:rsidR="00342A58" w:rsidRPr="00621414" w14:paraId="3CC8B38C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2AFA8BF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42A58" w:rsidRPr="00621414" w14:paraId="5484FA73" w14:textId="77777777" w:rsidTr="00050641">
        <w:trPr>
          <w:trHeight w:val="439"/>
        </w:trPr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342A58" w:rsidRPr="005231D0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342A58" w:rsidRPr="00621414" w14:paraId="5A7FED5D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C88E286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42A58" w:rsidRPr="00621414" w14:paraId="40B30E88" w14:textId="77777777" w:rsidTr="00050641">
        <w:trPr>
          <w:trHeight w:val="427"/>
        </w:trPr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42A58" w:rsidRPr="00EC30A8" w:rsidRDefault="00342A58" w:rsidP="00342A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42A58" w:rsidRPr="00621414" w14:paraId="541BD7F7" w14:textId="77777777" w:rsidTr="00050641">
        <w:trPr>
          <w:trHeight w:val="288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42A58" w:rsidRPr="00621414" w14:paraId="4DE14D25" w14:textId="77777777" w:rsidTr="00050641">
        <w:trPr>
          <w:trHeight w:val="427"/>
        </w:trPr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42A58" w:rsidRPr="00EC30A8" w:rsidRDefault="00342A58" w:rsidP="00342A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342A58" w:rsidRPr="00621414" w14:paraId="1DAD5D5C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57597369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42A58" w:rsidRPr="00EC30A8" w14:paraId="5F667D89" w14:textId="77777777" w:rsidTr="00050641">
        <w:trPr>
          <w:trHeight w:val="427"/>
        </w:trPr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42A58" w:rsidRPr="00EC30A8" w:rsidRDefault="00342A58" w:rsidP="00342A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342A58" w:rsidRPr="00EC30A8" w14:paraId="406B68D6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9EAD146" w14:textId="77777777" w:rsidR="00342A58" w:rsidRPr="00EC30A8" w:rsidRDefault="00342A58" w:rsidP="00342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42A58" w:rsidRPr="00EC30A8" w14:paraId="1A2BD291" w14:textId="77777777" w:rsidTr="00050641">
        <w:trPr>
          <w:trHeight w:val="227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3A19DB3" w14:textId="77777777" w:rsidR="00342A58" w:rsidRPr="00EC30A8" w:rsidRDefault="00342A58" w:rsidP="00342A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2A58" w:rsidRPr="00EC30A8" w14:paraId="002AF1AD" w14:textId="77777777" w:rsidTr="00050641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42A58" w:rsidRPr="00EC30A8" w:rsidRDefault="00342A58" w:rsidP="00342A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42A58" w:rsidRPr="00EC30A8" w:rsidRDefault="00342A58" w:rsidP="00342A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42A58" w:rsidRPr="00EC30A8" w:rsidRDefault="00342A58" w:rsidP="00342A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342A58" w:rsidRPr="00EC30A8" w14:paraId="6C6C269C" w14:textId="77777777" w:rsidTr="00050641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512E67F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6"/>
            <w:shd w:val="clear" w:color="auto" w:fill="auto"/>
            <w:vAlign w:val="bottom"/>
          </w:tcPr>
          <w:p w14:paraId="570A2BE5" w14:textId="3AFE0E12" w:rsidR="00342A58" w:rsidRPr="00EC30A8" w:rsidRDefault="00342A58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8"/>
            <w:shd w:val="clear" w:color="auto" w:fill="auto"/>
            <w:vAlign w:val="center"/>
          </w:tcPr>
          <w:p w14:paraId="3C42DEDA" w14:textId="0E55F449" w:rsidR="00342A58" w:rsidRPr="00EC30A8" w:rsidRDefault="00CA71D7" w:rsidP="00342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2" w:history="1">
              <w:r w:rsidR="00342A58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342A58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69FED" w14:textId="77777777" w:rsidR="00CA71D7" w:rsidRDefault="00CA71D7" w:rsidP="0022631D">
      <w:pPr>
        <w:spacing w:before="0" w:after="0"/>
      </w:pPr>
      <w:r>
        <w:separator/>
      </w:r>
    </w:p>
  </w:endnote>
  <w:endnote w:type="continuationSeparator" w:id="0">
    <w:p w14:paraId="07E47759" w14:textId="77777777" w:rsidR="00CA71D7" w:rsidRDefault="00CA71D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7DF2E" w14:textId="77777777" w:rsidR="00CA71D7" w:rsidRDefault="00CA71D7" w:rsidP="0022631D">
      <w:pPr>
        <w:spacing w:before="0" w:after="0"/>
      </w:pPr>
      <w:r>
        <w:separator/>
      </w:r>
    </w:p>
  </w:footnote>
  <w:footnote w:type="continuationSeparator" w:id="0">
    <w:p w14:paraId="3445C001" w14:textId="77777777" w:rsidR="00CA71D7" w:rsidRDefault="00CA71D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3B6B"/>
    <w:multiLevelType w:val="multilevel"/>
    <w:tmpl w:val="5F6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4FE1A0D"/>
    <w:multiLevelType w:val="multilevel"/>
    <w:tmpl w:val="484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E657C"/>
    <w:multiLevelType w:val="multilevel"/>
    <w:tmpl w:val="095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5"/>
  </w:num>
  <w:num w:numId="5">
    <w:abstractNumId w:val="11"/>
  </w:num>
  <w:num w:numId="6">
    <w:abstractNumId w:val="26"/>
  </w:num>
  <w:num w:numId="7">
    <w:abstractNumId w:val="27"/>
  </w:num>
  <w:num w:numId="8">
    <w:abstractNumId w:val="12"/>
  </w:num>
  <w:num w:numId="9">
    <w:abstractNumId w:val="23"/>
  </w:num>
  <w:num w:numId="10">
    <w:abstractNumId w:val="19"/>
  </w:num>
  <w:num w:numId="11">
    <w:abstractNumId w:val="29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6"/>
  </w:num>
  <w:num w:numId="17">
    <w:abstractNumId w:val="10"/>
  </w:num>
  <w:num w:numId="18">
    <w:abstractNumId w:val="34"/>
  </w:num>
  <w:num w:numId="19">
    <w:abstractNumId w:val="31"/>
  </w:num>
  <w:num w:numId="20">
    <w:abstractNumId w:val="15"/>
  </w:num>
  <w:num w:numId="21">
    <w:abstractNumId w:val="32"/>
  </w:num>
  <w:num w:numId="22">
    <w:abstractNumId w:val="18"/>
  </w:num>
  <w:num w:numId="23">
    <w:abstractNumId w:val="7"/>
  </w:num>
  <w:num w:numId="24">
    <w:abstractNumId w:val="2"/>
  </w:num>
  <w:num w:numId="25">
    <w:abstractNumId w:val="5"/>
  </w:num>
  <w:num w:numId="26">
    <w:abstractNumId w:val="4"/>
  </w:num>
  <w:num w:numId="27">
    <w:abstractNumId w:val="36"/>
  </w:num>
  <w:num w:numId="28">
    <w:abstractNumId w:val="33"/>
  </w:num>
  <w:num w:numId="29">
    <w:abstractNumId w:val="28"/>
  </w:num>
  <w:num w:numId="30">
    <w:abstractNumId w:val="0"/>
  </w:num>
  <w:num w:numId="31">
    <w:abstractNumId w:val="17"/>
  </w:num>
  <w:num w:numId="32">
    <w:abstractNumId w:val="21"/>
  </w:num>
  <w:num w:numId="33">
    <w:abstractNumId w:val="25"/>
  </w:num>
  <w:num w:numId="34">
    <w:abstractNumId w:val="14"/>
  </w:num>
  <w:num w:numId="35">
    <w:abstractNumId w:val="13"/>
  </w:num>
  <w:num w:numId="36">
    <w:abstractNumId w:val="16"/>
  </w:num>
  <w:num w:numId="37">
    <w:abstractNumId w:val="24"/>
  </w:num>
  <w:num w:numId="38">
    <w:abstractNumId w:val="3"/>
  </w:num>
  <w:num w:numId="39">
    <w:abstractNumId w:val="20"/>
  </w:num>
  <w:num w:numId="40">
    <w:abstractNumId w:val="3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014D"/>
    <w:rsid w:val="00012170"/>
    <w:rsid w:val="00013D30"/>
    <w:rsid w:val="00014E0F"/>
    <w:rsid w:val="00014E67"/>
    <w:rsid w:val="0002041A"/>
    <w:rsid w:val="0002670F"/>
    <w:rsid w:val="00030D7B"/>
    <w:rsid w:val="00031A81"/>
    <w:rsid w:val="00044EA8"/>
    <w:rsid w:val="00046CCF"/>
    <w:rsid w:val="000476FA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B746B"/>
    <w:rsid w:val="000B7994"/>
    <w:rsid w:val="000C4A5D"/>
    <w:rsid w:val="000D167E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12423"/>
    <w:rsid w:val="001236C8"/>
    <w:rsid w:val="001267FA"/>
    <w:rsid w:val="0013461A"/>
    <w:rsid w:val="00137CA8"/>
    <w:rsid w:val="00137E20"/>
    <w:rsid w:val="001423EF"/>
    <w:rsid w:val="00143648"/>
    <w:rsid w:val="00156C5E"/>
    <w:rsid w:val="00173568"/>
    <w:rsid w:val="0018138F"/>
    <w:rsid w:val="0018422F"/>
    <w:rsid w:val="00196DBB"/>
    <w:rsid w:val="001A1999"/>
    <w:rsid w:val="001A49EE"/>
    <w:rsid w:val="001A7CBE"/>
    <w:rsid w:val="001C1BE1"/>
    <w:rsid w:val="001D08B8"/>
    <w:rsid w:val="001D2F53"/>
    <w:rsid w:val="001E0091"/>
    <w:rsid w:val="001E0833"/>
    <w:rsid w:val="001F46A9"/>
    <w:rsid w:val="001F4C26"/>
    <w:rsid w:val="00201D07"/>
    <w:rsid w:val="00205E07"/>
    <w:rsid w:val="00211620"/>
    <w:rsid w:val="0021290A"/>
    <w:rsid w:val="0022631D"/>
    <w:rsid w:val="00234004"/>
    <w:rsid w:val="00235C0F"/>
    <w:rsid w:val="002513A2"/>
    <w:rsid w:val="002606FC"/>
    <w:rsid w:val="002616C4"/>
    <w:rsid w:val="00261F7A"/>
    <w:rsid w:val="002751A4"/>
    <w:rsid w:val="002823E9"/>
    <w:rsid w:val="00282EB6"/>
    <w:rsid w:val="00284A94"/>
    <w:rsid w:val="002863AD"/>
    <w:rsid w:val="00293285"/>
    <w:rsid w:val="00295B92"/>
    <w:rsid w:val="00296076"/>
    <w:rsid w:val="002A0AA7"/>
    <w:rsid w:val="002D0932"/>
    <w:rsid w:val="002D09F8"/>
    <w:rsid w:val="002D1F4D"/>
    <w:rsid w:val="002E4E6F"/>
    <w:rsid w:val="002E7FD2"/>
    <w:rsid w:val="002F16CC"/>
    <w:rsid w:val="002F1FEB"/>
    <w:rsid w:val="003057C4"/>
    <w:rsid w:val="00306798"/>
    <w:rsid w:val="00311ECE"/>
    <w:rsid w:val="00325ACB"/>
    <w:rsid w:val="003330A9"/>
    <w:rsid w:val="00334CF3"/>
    <w:rsid w:val="003360C2"/>
    <w:rsid w:val="003362F5"/>
    <w:rsid w:val="0033729C"/>
    <w:rsid w:val="00337B7E"/>
    <w:rsid w:val="00341644"/>
    <w:rsid w:val="00342A58"/>
    <w:rsid w:val="00354B6C"/>
    <w:rsid w:val="00371B1D"/>
    <w:rsid w:val="00385B25"/>
    <w:rsid w:val="003A0346"/>
    <w:rsid w:val="003A245D"/>
    <w:rsid w:val="003B2758"/>
    <w:rsid w:val="003B43FF"/>
    <w:rsid w:val="003B5189"/>
    <w:rsid w:val="003B764D"/>
    <w:rsid w:val="003C5110"/>
    <w:rsid w:val="003D43D4"/>
    <w:rsid w:val="003D6A82"/>
    <w:rsid w:val="003D6E47"/>
    <w:rsid w:val="003E2E5D"/>
    <w:rsid w:val="003E3D40"/>
    <w:rsid w:val="003E6978"/>
    <w:rsid w:val="00403F38"/>
    <w:rsid w:val="00405A96"/>
    <w:rsid w:val="0041669A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0BFE"/>
    <w:rsid w:val="004875E0"/>
    <w:rsid w:val="00491D85"/>
    <w:rsid w:val="0049632A"/>
    <w:rsid w:val="00496DD8"/>
    <w:rsid w:val="004A0E9C"/>
    <w:rsid w:val="004A51F0"/>
    <w:rsid w:val="004B0562"/>
    <w:rsid w:val="004B3123"/>
    <w:rsid w:val="004B6EA9"/>
    <w:rsid w:val="004B7A55"/>
    <w:rsid w:val="004C75DB"/>
    <w:rsid w:val="004C76B0"/>
    <w:rsid w:val="004C7FE2"/>
    <w:rsid w:val="004D078F"/>
    <w:rsid w:val="004E0E4A"/>
    <w:rsid w:val="004E376E"/>
    <w:rsid w:val="004E5A23"/>
    <w:rsid w:val="004F30B6"/>
    <w:rsid w:val="004F328D"/>
    <w:rsid w:val="004F6A07"/>
    <w:rsid w:val="004F77A1"/>
    <w:rsid w:val="00503007"/>
    <w:rsid w:val="00503BCC"/>
    <w:rsid w:val="0050435B"/>
    <w:rsid w:val="00514B40"/>
    <w:rsid w:val="0052040C"/>
    <w:rsid w:val="005231D0"/>
    <w:rsid w:val="00542558"/>
    <w:rsid w:val="00546023"/>
    <w:rsid w:val="00551A6C"/>
    <w:rsid w:val="0055516F"/>
    <w:rsid w:val="00556A50"/>
    <w:rsid w:val="00557446"/>
    <w:rsid w:val="00560599"/>
    <w:rsid w:val="00570959"/>
    <w:rsid w:val="005737F9"/>
    <w:rsid w:val="00573FF5"/>
    <w:rsid w:val="00575BA7"/>
    <w:rsid w:val="00586193"/>
    <w:rsid w:val="005943D1"/>
    <w:rsid w:val="00595BA0"/>
    <w:rsid w:val="005A0D15"/>
    <w:rsid w:val="005A0E05"/>
    <w:rsid w:val="005A33B0"/>
    <w:rsid w:val="005A52AB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21414"/>
    <w:rsid w:val="00623CF6"/>
    <w:rsid w:val="00626694"/>
    <w:rsid w:val="006310AE"/>
    <w:rsid w:val="00631707"/>
    <w:rsid w:val="00646760"/>
    <w:rsid w:val="0065269F"/>
    <w:rsid w:val="00657858"/>
    <w:rsid w:val="00666BEE"/>
    <w:rsid w:val="0067596F"/>
    <w:rsid w:val="00690ECB"/>
    <w:rsid w:val="006A2D85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54604"/>
    <w:rsid w:val="00761EB8"/>
    <w:rsid w:val="0076660B"/>
    <w:rsid w:val="007732E7"/>
    <w:rsid w:val="00786046"/>
    <w:rsid w:val="0078682E"/>
    <w:rsid w:val="007A1BBC"/>
    <w:rsid w:val="007A3C25"/>
    <w:rsid w:val="007B7536"/>
    <w:rsid w:val="007C05CA"/>
    <w:rsid w:val="007C14E6"/>
    <w:rsid w:val="007C5906"/>
    <w:rsid w:val="007D013B"/>
    <w:rsid w:val="007D619C"/>
    <w:rsid w:val="007D6E19"/>
    <w:rsid w:val="007E5302"/>
    <w:rsid w:val="008069D6"/>
    <w:rsid w:val="0081420B"/>
    <w:rsid w:val="008224C0"/>
    <w:rsid w:val="0083404C"/>
    <w:rsid w:val="00841307"/>
    <w:rsid w:val="00852D0A"/>
    <w:rsid w:val="00864686"/>
    <w:rsid w:val="0086490C"/>
    <w:rsid w:val="00877B3D"/>
    <w:rsid w:val="008824AD"/>
    <w:rsid w:val="008912CA"/>
    <w:rsid w:val="008A2821"/>
    <w:rsid w:val="008A61F5"/>
    <w:rsid w:val="008B2E71"/>
    <w:rsid w:val="008B33FA"/>
    <w:rsid w:val="008C4E62"/>
    <w:rsid w:val="008D34FA"/>
    <w:rsid w:val="008D3753"/>
    <w:rsid w:val="008E493A"/>
    <w:rsid w:val="008F5F26"/>
    <w:rsid w:val="00902D78"/>
    <w:rsid w:val="00902F80"/>
    <w:rsid w:val="0090543E"/>
    <w:rsid w:val="009065FF"/>
    <w:rsid w:val="0090677D"/>
    <w:rsid w:val="00912496"/>
    <w:rsid w:val="00914DD5"/>
    <w:rsid w:val="00916D37"/>
    <w:rsid w:val="00922E47"/>
    <w:rsid w:val="009264B2"/>
    <w:rsid w:val="00931265"/>
    <w:rsid w:val="0093482C"/>
    <w:rsid w:val="00936098"/>
    <w:rsid w:val="00942452"/>
    <w:rsid w:val="0094721D"/>
    <w:rsid w:val="00950074"/>
    <w:rsid w:val="009808F7"/>
    <w:rsid w:val="00981A16"/>
    <w:rsid w:val="00986D85"/>
    <w:rsid w:val="00986FEE"/>
    <w:rsid w:val="009A7008"/>
    <w:rsid w:val="009B2DA5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05CE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15C6"/>
    <w:rsid w:val="00AB3A8E"/>
    <w:rsid w:val="00AC5F37"/>
    <w:rsid w:val="00AD07B9"/>
    <w:rsid w:val="00AD3446"/>
    <w:rsid w:val="00AD59DC"/>
    <w:rsid w:val="00AE2B02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F1465"/>
    <w:rsid w:val="00BF19BB"/>
    <w:rsid w:val="00BF4745"/>
    <w:rsid w:val="00C07662"/>
    <w:rsid w:val="00C238B5"/>
    <w:rsid w:val="00C44082"/>
    <w:rsid w:val="00C50CA8"/>
    <w:rsid w:val="00C55719"/>
    <w:rsid w:val="00C6283F"/>
    <w:rsid w:val="00C67BA9"/>
    <w:rsid w:val="00C71B9D"/>
    <w:rsid w:val="00C755C4"/>
    <w:rsid w:val="00C84DF7"/>
    <w:rsid w:val="00C90BAE"/>
    <w:rsid w:val="00C9185A"/>
    <w:rsid w:val="00C95758"/>
    <w:rsid w:val="00C958EB"/>
    <w:rsid w:val="00C96337"/>
    <w:rsid w:val="00C96BED"/>
    <w:rsid w:val="00CA7118"/>
    <w:rsid w:val="00CA71D7"/>
    <w:rsid w:val="00CB005E"/>
    <w:rsid w:val="00CB13A3"/>
    <w:rsid w:val="00CB4473"/>
    <w:rsid w:val="00CB44D2"/>
    <w:rsid w:val="00CC1F23"/>
    <w:rsid w:val="00CC5EB7"/>
    <w:rsid w:val="00CD638C"/>
    <w:rsid w:val="00CD6E3E"/>
    <w:rsid w:val="00CE59AB"/>
    <w:rsid w:val="00CF1F70"/>
    <w:rsid w:val="00CF20B4"/>
    <w:rsid w:val="00CF67A7"/>
    <w:rsid w:val="00D013CE"/>
    <w:rsid w:val="00D05124"/>
    <w:rsid w:val="00D146B5"/>
    <w:rsid w:val="00D32791"/>
    <w:rsid w:val="00D350DE"/>
    <w:rsid w:val="00D36189"/>
    <w:rsid w:val="00D57869"/>
    <w:rsid w:val="00D636B7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45B4"/>
    <w:rsid w:val="00E02BA6"/>
    <w:rsid w:val="00E12C93"/>
    <w:rsid w:val="00E1714A"/>
    <w:rsid w:val="00E22591"/>
    <w:rsid w:val="00E23397"/>
    <w:rsid w:val="00E243EA"/>
    <w:rsid w:val="00E2548D"/>
    <w:rsid w:val="00E26496"/>
    <w:rsid w:val="00E274C9"/>
    <w:rsid w:val="00E32156"/>
    <w:rsid w:val="00E3380C"/>
    <w:rsid w:val="00E33A25"/>
    <w:rsid w:val="00E3414B"/>
    <w:rsid w:val="00E36887"/>
    <w:rsid w:val="00E40A23"/>
    <w:rsid w:val="00E4188B"/>
    <w:rsid w:val="00E41D83"/>
    <w:rsid w:val="00E532E6"/>
    <w:rsid w:val="00E54C4D"/>
    <w:rsid w:val="00E56328"/>
    <w:rsid w:val="00E74643"/>
    <w:rsid w:val="00E860D0"/>
    <w:rsid w:val="00EA01A2"/>
    <w:rsid w:val="00EA2B58"/>
    <w:rsid w:val="00EA568C"/>
    <w:rsid w:val="00EA767F"/>
    <w:rsid w:val="00EA7CF5"/>
    <w:rsid w:val="00EB4469"/>
    <w:rsid w:val="00EB4734"/>
    <w:rsid w:val="00EB526E"/>
    <w:rsid w:val="00EB59EE"/>
    <w:rsid w:val="00EB5C8A"/>
    <w:rsid w:val="00EC0E51"/>
    <w:rsid w:val="00EC30A8"/>
    <w:rsid w:val="00EC6C64"/>
    <w:rsid w:val="00EE113C"/>
    <w:rsid w:val="00EF1167"/>
    <w:rsid w:val="00EF16D0"/>
    <w:rsid w:val="00F008E4"/>
    <w:rsid w:val="00F015FA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26F4"/>
    <w:rsid w:val="00F93A46"/>
    <w:rsid w:val="00F97412"/>
    <w:rsid w:val="00FA664F"/>
    <w:rsid w:val="00FB097B"/>
    <w:rsid w:val="00FC45AA"/>
    <w:rsid w:val="00FC4A61"/>
    <w:rsid w:val="00FC5DAD"/>
    <w:rsid w:val="00FC5FD5"/>
    <w:rsid w:val="00FE0F8F"/>
    <w:rsid w:val="00FF2084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numner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tabrtp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nukyanstende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89EB-BEC8-4F5B-A0F3-19C34AE3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7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348</cp:revision>
  <cp:lastPrinted>2025-09-16T06:18:00Z</cp:lastPrinted>
  <dcterms:created xsi:type="dcterms:W3CDTF">2021-06-28T12:08:00Z</dcterms:created>
  <dcterms:modified xsi:type="dcterms:W3CDTF">2026-05-18T13:15:00Z</dcterms:modified>
</cp:coreProperties>
</file>