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BB70E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B70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BB70E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B70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BB70ED" w:rsidRDefault="0045231C" w:rsidP="00AC270A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B70E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ՀՀ Արագածոտնի </w:t>
      </w:r>
      <w:r w:rsidR="00CE4AB2" w:rsidRPr="00BB70E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մարզպետի աշխատակազմ</w:t>
      </w:r>
      <w:r w:rsidRPr="00BB70E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ը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B70ED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A2959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2025</w:t>
      </w:r>
      <w:r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042FC" w:rsidRPr="00BB70E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փորձաքննության անցկացման և եզրակացության տրամադրման ծառայություններ</w:t>
      </w:r>
      <w:r w:rsidRPr="00BB70E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ի 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A2959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ՀՀԱՄ-ՄԱԾՁԲ-25/33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F40FF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27</w:t>
      </w:r>
      <w:r w:rsidR="008F3A4E" w:rsidRPr="00BB70ED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5F40FF" w:rsidRPr="00BB70ED">
        <w:rPr>
          <w:rFonts w:ascii="GHEA Grapalat" w:eastAsia="Times New Roman" w:hAnsi="GHEA Grapalat" w:cs="Cambria Math"/>
          <w:sz w:val="20"/>
          <w:szCs w:val="20"/>
          <w:lang w:val="hy-AM" w:eastAsia="ru-RU"/>
        </w:rPr>
        <w:t>06</w:t>
      </w:r>
      <w:r w:rsidR="00D077A7" w:rsidRPr="00BB70ED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A2959" w:rsidRPr="00BB70ED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B3659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BB70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թվականին </w:t>
      </w:r>
      <w:r w:rsidR="0022631D" w:rsidRPr="00BB70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1088"/>
        <w:gridCol w:w="72"/>
        <w:gridCol w:w="353"/>
        <w:gridCol w:w="709"/>
        <w:gridCol w:w="567"/>
        <w:gridCol w:w="141"/>
        <w:gridCol w:w="49"/>
        <w:gridCol w:w="519"/>
        <w:gridCol w:w="142"/>
        <w:gridCol w:w="120"/>
        <w:gridCol w:w="305"/>
        <w:gridCol w:w="720"/>
        <w:gridCol w:w="67"/>
        <w:gridCol w:w="14"/>
        <w:gridCol w:w="519"/>
        <w:gridCol w:w="204"/>
        <w:gridCol w:w="187"/>
        <w:gridCol w:w="132"/>
        <w:gridCol w:w="22"/>
        <w:gridCol w:w="403"/>
        <w:gridCol w:w="368"/>
        <w:gridCol w:w="341"/>
        <w:gridCol w:w="295"/>
        <w:gridCol w:w="208"/>
        <w:gridCol w:w="26"/>
        <w:gridCol w:w="186"/>
        <w:gridCol w:w="135"/>
        <w:gridCol w:w="425"/>
        <w:gridCol w:w="1510"/>
      </w:tblGrid>
      <w:tr w:rsidR="0022631D" w:rsidRPr="00BB70ED" w:rsidTr="0048363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B70ED" w:rsidTr="00D4065B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BB70E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B70ED" w:rsidTr="00D4065B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B70ED" w:rsidTr="00D4065B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B70E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B70E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EA1" w:rsidRPr="00BB70ED" w:rsidTr="00D4065B">
        <w:trPr>
          <w:trHeight w:val="40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F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BB70ED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EA1" w:rsidRPr="00BB70ED" w:rsidRDefault="00BF5EA1" w:rsidP="00BF5EA1">
            <w:pPr>
              <w:ind w:left="0" w:firstLine="0"/>
              <w:rPr>
                <w:rFonts w:ascii="GHEA Grapalat" w:hAnsi="GHEA Grapalat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փորձաքննության անցկացման և եզրակացության տրամադրման ծառայություններ</w:t>
            </w: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 xml:space="preserve"> /1/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B70ED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F5EA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BB70ED">
              <w:rPr>
                <w:rFonts w:ascii="GHEA Grapalat" w:hAnsi="GHEA Grapalat" w:cs="Sylfaen"/>
                <w:bCs/>
                <w:szCs w:val="22"/>
                <w:lang w:val="hy-AM"/>
              </w:rPr>
              <w:t>233 266</w:t>
            </w:r>
          </w:p>
        </w:tc>
        <w:tc>
          <w:tcPr>
            <w:tcW w:w="1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EA1" w:rsidRPr="00BB70ED" w:rsidRDefault="00BF5EA1" w:rsidP="00BA077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Cs/>
                <w:szCs w:val="22"/>
                <w:lang w:val="hy-AM"/>
              </w:rPr>
            </w:pPr>
            <w:r w:rsidRPr="00BB70ED">
              <w:rPr>
                <w:rFonts w:ascii="GHEA Grapalat" w:hAnsi="GHEA Grapalat" w:cs="Sylfaen"/>
                <w:bCs/>
                <w:szCs w:val="22"/>
                <w:lang w:val="hy-AM"/>
              </w:rPr>
              <w:t>200 000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EA1" w:rsidRPr="00BB70ED" w:rsidRDefault="00BF5EA1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EA1" w:rsidRPr="00BB70ED" w:rsidRDefault="00BF5EA1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փորձաքննության անցկացման և եզրակացության տրամադրման ծառայություններ</w:t>
            </w:r>
          </w:p>
        </w:tc>
      </w:tr>
      <w:tr w:rsidR="004B0B61" w:rsidRPr="00BB70ED" w:rsidTr="0078077B">
        <w:trPr>
          <w:trHeight w:val="40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4B0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BB70ED">
              <w:rPr>
                <w:rFonts w:ascii="GHEA Grapalat" w:eastAsia="Times New Roman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61" w:rsidRPr="00BB70ED" w:rsidRDefault="004B0B61" w:rsidP="004B0B61">
            <w:pPr>
              <w:ind w:left="0" w:firstLine="0"/>
              <w:rPr>
                <w:rFonts w:ascii="GHEA Grapalat" w:hAnsi="GHEA Grapalat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</w:t>
            </w: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փորձաքննության անցկացման և եզրակացության տրամադրման ծառայություններ</w:t>
            </w: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 xml:space="preserve"> /2/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4B0B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4B0B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4B0B6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BB70ED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4B0B6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Cs/>
                <w:szCs w:val="22"/>
                <w:lang w:val="hy-AM"/>
              </w:rPr>
            </w:pPr>
            <w:r w:rsidRPr="00BB70ED">
              <w:rPr>
                <w:rFonts w:ascii="GHEA Grapalat" w:hAnsi="GHEA Grapalat" w:cs="Sylfaen"/>
                <w:bCs/>
                <w:szCs w:val="22"/>
                <w:lang w:val="hy-AM"/>
              </w:rPr>
              <w:t>772 429</w:t>
            </w:r>
          </w:p>
        </w:tc>
        <w:tc>
          <w:tcPr>
            <w:tcW w:w="1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B61" w:rsidRPr="00BB70ED" w:rsidRDefault="004B0B61" w:rsidP="00BA077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Cs/>
                <w:szCs w:val="22"/>
                <w:lang w:val="hy-AM"/>
              </w:rPr>
            </w:pPr>
            <w:r w:rsidRPr="00BB70ED">
              <w:rPr>
                <w:rFonts w:ascii="GHEA Grapalat" w:hAnsi="GHEA Grapalat" w:cs="Sylfaen"/>
                <w:bCs/>
                <w:szCs w:val="22"/>
                <w:lang w:val="hy-AM"/>
              </w:rPr>
              <w:t>700 000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61" w:rsidRPr="00BB70ED" w:rsidRDefault="004B0B61" w:rsidP="004B0B61">
            <w:pPr>
              <w:ind w:left="0" w:firstLine="0"/>
              <w:rPr>
                <w:rFonts w:ascii="GHEA Grapalat" w:hAnsi="GHEA Grapalat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</w:t>
            </w: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փորձաքննության անցկացման և եզրակացության տրամադրման ծառայություններ /2/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B61" w:rsidRPr="00BB70ED" w:rsidRDefault="004B0B61" w:rsidP="004B0B61">
            <w:pPr>
              <w:ind w:left="0" w:firstLine="0"/>
              <w:rPr>
                <w:rFonts w:ascii="GHEA Grapalat" w:hAnsi="GHEA Grapalat"/>
              </w:rPr>
            </w:pP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Արագածոտնի  մարզային /տեղական/  նշանակության ավտոմոբիլային ճանապարհների երթևեկության սխեմաների (կահավորանք, ճանապարհային նշաններ, նշագծում և այլն) նախագծանախահաշվային փաստաթղթերի </w:t>
            </w:r>
            <w:r w:rsidRPr="00BB70E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փորձաքննության անցկացման և եզրակացության տրամադրման ծառայություններ /2/</w:t>
            </w:r>
          </w:p>
        </w:tc>
      </w:tr>
      <w:tr w:rsidR="0045231C" w:rsidRPr="00BB70ED" w:rsidTr="00D4065B">
        <w:trPr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31C" w:rsidRPr="00BB70ED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231C" w:rsidRPr="00BB70ED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5231C" w:rsidRPr="00BB70ED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</w:t>
            </w:r>
            <w:r w:rsidR="00694831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</w:t>
            </w:r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-րդ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  <w:proofErr w:type="spellEnd"/>
            <w:r w:rsidR="00694831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="00694831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0846D1" w:rsidRPr="00BB70ED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435F8" w:rsidP="00EA1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17</w:t>
            </w:r>
            <w:r w:rsidR="000846D1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EA150B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0</w:t>
            </w:r>
            <w:r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6</w:t>
            </w:r>
            <w:r w:rsidR="000846D1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BA2959" w:rsidRPr="00BB70E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2025</w:t>
            </w:r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6D1" w:rsidRPr="00BB70ED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BB70ED" w:rsidTr="009B70AF">
        <w:trPr>
          <w:trHeight w:val="106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5"/>
            <w:vMerge w:val="restart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8" w:type="dxa"/>
            <w:gridSpan w:val="24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46D1" w:rsidRPr="00BB70ED" w:rsidTr="009B70AF">
        <w:trPr>
          <w:trHeight w:val="4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  <w:vMerge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10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846D1" w:rsidRPr="00BB70ED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06A4" w:rsidRPr="00BB70ED" w:rsidTr="003C0459">
        <w:trPr>
          <w:trHeight w:val="36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5731" w:rsidRPr="00BB70ED" w:rsidTr="00595443">
        <w:trPr>
          <w:trHeight w:val="36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05731" w:rsidRPr="00BB70ED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</w:tcPr>
          <w:p w:rsidR="00205731" w:rsidRPr="00BB70ED" w:rsidRDefault="00BA295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hAnsi="GHEA Grapalat" w:cs="Times Armenian"/>
                <w:sz w:val="20"/>
                <w:lang w:val="hy-AM"/>
              </w:rPr>
              <w:t>&lt;&lt;ՍԵՅՍՄԱԱՆՎՏԱՆԳՈՒԹՅՈՒՆ&gt;&gt; ՍՊԸ</w:t>
            </w:r>
          </w:p>
        </w:tc>
        <w:tc>
          <w:tcPr>
            <w:tcW w:w="2596" w:type="dxa"/>
            <w:gridSpan w:val="10"/>
            <w:shd w:val="clear" w:color="auto" w:fill="auto"/>
          </w:tcPr>
          <w:p w:rsidR="00205731" w:rsidRPr="00BB70ED" w:rsidRDefault="001A2DB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  <w:tc>
          <w:tcPr>
            <w:tcW w:w="2160" w:type="dxa"/>
            <w:gridSpan w:val="9"/>
            <w:shd w:val="clear" w:color="auto" w:fill="auto"/>
          </w:tcPr>
          <w:p w:rsidR="00205731" w:rsidRPr="00BB70ED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205731" w:rsidRPr="00BB70ED" w:rsidRDefault="001A2DB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</w:t>
            </w:r>
          </w:p>
        </w:tc>
      </w:tr>
      <w:tr w:rsidR="00E63709" w:rsidRPr="00BB70ED" w:rsidTr="00550818">
        <w:trPr>
          <w:trHeight w:val="36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789" w:type="dxa"/>
            <w:gridSpan w:val="5"/>
            <w:vAlign w:val="center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10"/>
            <w:shd w:val="clear" w:color="auto" w:fill="BFBFBF" w:themeFill="background1" w:themeFillShade="BF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BFBFBF" w:themeFill="background1" w:themeFillShade="BF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BFBFBF" w:themeFill="background1" w:themeFillShade="BF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3709" w:rsidRPr="00BB70ED" w:rsidTr="00550818">
        <w:trPr>
          <w:trHeight w:val="365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63709" w:rsidRPr="00BB70ED" w:rsidRDefault="00E6370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  <w:vAlign w:val="center"/>
          </w:tcPr>
          <w:p w:rsidR="00E63709" w:rsidRPr="00BB70ED" w:rsidRDefault="00BA2959" w:rsidP="00E637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hAnsi="GHEA Grapalat" w:cs="Times Armenian"/>
                <w:sz w:val="20"/>
                <w:lang w:val="hy-AM"/>
              </w:rPr>
              <w:t>&lt;&lt;ՍԵՅՍՄԱԱՆՎՏԱՆԳՈՒԹՅՈՒՆ&gt;&gt; ՍՊԸ</w:t>
            </w:r>
          </w:p>
        </w:tc>
        <w:tc>
          <w:tcPr>
            <w:tcW w:w="2596" w:type="dxa"/>
            <w:gridSpan w:val="10"/>
            <w:shd w:val="clear" w:color="auto" w:fill="BFBFBF" w:themeFill="background1" w:themeFillShade="BF"/>
          </w:tcPr>
          <w:p w:rsidR="00E63709" w:rsidRPr="00BB70ED" w:rsidRDefault="001A2DB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700000</w:t>
            </w:r>
          </w:p>
        </w:tc>
        <w:tc>
          <w:tcPr>
            <w:tcW w:w="2160" w:type="dxa"/>
            <w:gridSpan w:val="9"/>
            <w:shd w:val="clear" w:color="auto" w:fill="BFBFBF" w:themeFill="background1" w:themeFillShade="BF"/>
          </w:tcPr>
          <w:p w:rsidR="00E63709" w:rsidRPr="00BB70ED" w:rsidRDefault="00205731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BFBFBF" w:themeFill="background1" w:themeFillShade="BF"/>
          </w:tcPr>
          <w:p w:rsidR="00E63709" w:rsidRPr="00BB70ED" w:rsidRDefault="001A2DB9" w:rsidP="00E637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700000</w:t>
            </w:r>
          </w:p>
        </w:tc>
      </w:tr>
      <w:tr w:rsidR="00D606A4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BB70ED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06A4" w:rsidRPr="00BB70ED" w:rsidTr="006D3D2C">
        <w:trPr>
          <w:trHeight w:val="264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06A4" w:rsidRPr="00BB70ED" w:rsidTr="006D3D2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B70E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72B36" w:rsidRPr="00BB70ED" w:rsidTr="006D3D2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2B36" w:rsidRPr="00BB70ED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06A4" w:rsidRPr="00BB70ED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BB70ED" w:rsidTr="006D3D2C">
        <w:trPr>
          <w:trHeight w:val="331"/>
        </w:trPr>
        <w:tc>
          <w:tcPr>
            <w:tcW w:w="2473" w:type="dxa"/>
            <w:gridSpan w:val="4"/>
            <w:shd w:val="clear" w:color="auto" w:fill="auto"/>
            <w:vAlign w:val="center"/>
          </w:tcPr>
          <w:p w:rsidR="00D606A4" w:rsidRPr="00BB70ED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:rsidR="00D606A4" w:rsidRPr="00BB70ED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606A4" w:rsidRPr="00BB70ED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06A4" w:rsidRPr="00BB70ED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BB70ED" w:rsidTr="00C33548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834EE8" w:rsidP="00895E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D606A4"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D7289"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606A4"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A2959"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606A4" w:rsidRPr="00BB70ED" w:rsidTr="00C33548">
        <w:trPr>
          <w:trHeight w:val="92"/>
        </w:trPr>
        <w:tc>
          <w:tcPr>
            <w:tcW w:w="5025" w:type="dxa"/>
            <w:gridSpan w:val="12"/>
            <w:vMerge w:val="restart"/>
            <w:shd w:val="clear" w:color="auto" w:fill="auto"/>
            <w:vAlign w:val="center"/>
          </w:tcPr>
          <w:p w:rsidR="00D606A4" w:rsidRPr="00BB70ED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06A4" w:rsidRPr="00BB70ED" w:rsidTr="00C33548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6A4" w:rsidRPr="00BB70ED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06A4" w:rsidRPr="00BB70ED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34EE8" w:rsidRPr="00BB70ED" w:rsidTr="00C33548">
        <w:trPr>
          <w:trHeight w:val="344"/>
        </w:trPr>
        <w:tc>
          <w:tcPr>
            <w:tcW w:w="5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187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34EE8" w:rsidRPr="00BB70ED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34EE8" w:rsidRPr="00BB70ED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EE8" w:rsidRPr="00BB70ED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33548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BB70ED" w:rsidTr="006D3D2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33548" w:rsidRPr="00BB70ED" w:rsidTr="006D3D2C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33548" w:rsidRPr="00BB70ED" w:rsidTr="006D3D2C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3548" w:rsidRPr="00BB70ED" w:rsidTr="006D3D2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548" w:rsidRPr="00BB70ED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064ED" w:rsidRPr="00BB70ED" w:rsidTr="006D3D2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&lt;&lt;ՍԵՅՍՄԱԱՆՎՏԱՆԳՈՒԹՅՈՒՆ&gt;&gt; ՍՊԸ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ՀՀԱՄ-ՄԱԾՁԲ-25/33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BB70E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06.2025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կողմից նախագծանախահաշվային փաստաթղթերը Կատարողին տրամադրելու օրվանից հաշված 20-րդ (քսաներորդ) օրացուցային օրը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200000</w:t>
            </w:r>
          </w:p>
        </w:tc>
      </w:tr>
      <w:tr w:rsidR="00B064ED" w:rsidRPr="00BB70ED" w:rsidTr="006D3D2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&lt;&lt;ՍԵՅՍՄԱԱՆՎՏԱՆ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ԳՈՒԹՅՈՒՆ&gt;&gt; ՍՊԸ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ՀՀԱՄ-ՄԱԾՁԲ-25/33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BB70E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06.2025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կողմից 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նախագծանախահաշվային փաստաթղթերը Կատարողին տրամադրելու օրվանից հաշված 35-րդ (քսաներորդ) օրացուցային օրը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064ED" w:rsidRPr="00BB70ED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700000</w:t>
            </w:r>
          </w:p>
        </w:tc>
      </w:tr>
      <w:tr w:rsidR="00B60ED7" w:rsidRPr="00BB70ED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0ED7" w:rsidRPr="00BB70ED" w:rsidTr="006D3D2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60F9" w:rsidRPr="00BB70ED" w:rsidTr="006D3D2C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&lt;&lt;ՍԵՅՍՄԱԱՆՎՏԱՆԳՈՒԹՅՈՒՆ&gt;&gt;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Իրավ. հասցե՝ ք. Երեւան, Վարդաշեն 6-րդ փողոց, 29 տուն</w:t>
            </w:r>
          </w:p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Գործ. հասցե՝ ք. Երեւան, Փ.Բյուզանդի 1/3, Հեռ.՝ 093 56-12-22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16600459291000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60F9" w:rsidRPr="00BB70ED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00930679</w:t>
            </w:r>
          </w:p>
        </w:tc>
      </w:tr>
      <w:tr w:rsidR="00B60ED7" w:rsidRPr="00BB70ED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BB70E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B70E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70E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Մերժվել է &lt;&lt;Հակոբ Կարապետյան&gt;&gt; ԱՁ-ի կողմից ներկայացված հայտը և 1-ին չափաբաժնի մասով ընթացակարգը հայտարարվել է չկայացած</w:t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60ED7" w:rsidRPr="00BB70ED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stepanyanhakob@gmail.com:</w:t>
            </w: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AC270A">
        <w:trPr>
          <w:trHeight w:val="475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B70E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B70E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BB70ED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60ED7" w:rsidRPr="00BB70ED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B60ED7" w:rsidRPr="00BB70ED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BB70ED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0ED7" w:rsidRPr="00BB70ED" w:rsidTr="00D4065B">
        <w:trPr>
          <w:trHeight w:val="47"/>
        </w:trPr>
        <w:tc>
          <w:tcPr>
            <w:tcW w:w="36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ED7" w:rsidRPr="00BB70ED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0ED7" w:rsidRPr="00BB70ED" w:rsidTr="00D4065B">
        <w:trPr>
          <w:trHeight w:val="47"/>
        </w:trPr>
        <w:tc>
          <w:tcPr>
            <w:tcW w:w="3607" w:type="dxa"/>
            <w:gridSpan w:val="7"/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708" w:type="dxa"/>
            <w:gridSpan w:val="15"/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B60ED7" w:rsidRPr="00BB70ED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B70E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:rsidR="001021B0" w:rsidRPr="00BB70ED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BB70ED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BB70ED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BB70ED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BB70ED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BB70ED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BB70ED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BB70ED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BB70ED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456" w:rsidRDefault="00306456" w:rsidP="0022631D">
      <w:pPr>
        <w:spacing w:before="0" w:after="0"/>
      </w:pPr>
      <w:r>
        <w:separator/>
      </w:r>
    </w:p>
  </w:endnote>
  <w:endnote w:type="continuationSeparator" w:id="0">
    <w:p w:rsidR="00306456" w:rsidRDefault="003064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456" w:rsidRDefault="00306456" w:rsidP="0022631D">
      <w:pPr>
        <w:spacing w:before="0" w:after="0"/>
      </w:pPr>
      <w:r>
        <w:separator/>
      </w:r>
    </w:p>
  </w:footnote>
  <w:footnote w:type="continuationSeparator" w:id="0">
    <w:p w:rsidR="00306456" w:rsidRDefault="00306456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46D1" w:rsidRPr="002D0BF6" w:rsidRDefault="000846D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846D1" w:rsidRPr="002D0BF6" w:rsidRDefault="000846D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3548" w:rsidRPr="00871366" w:rsidRDefault="00C3354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0ED7" w:rsidRPr="002D0BF6" w:rsidRDefault="00B60ED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0ED7" w:rsidRPr="0078682E" w:rsidRDefault="00B60ED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B60ED7" w:rsidRPr="0078682E" w:rsidRDefault="00B60ED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B60ED7" w:rsidRPr="00005B9C" w:rsidRDefault="00B60ED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07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B23"/>
    <w:rsid w:val="000435F8"/>
    <w:rsid w:val="00044EA8"/>
    <w:rsid w:val="00046CCF"/>
    <w:rsid w:val="00051ECE"/>
    <w:rsid w:val="0007090E"/>
    <w:rsid w:val="00073D66"/>
    <w:rsid w:val="000846D1"/>
    <w:rsid w:val="000B0199"/>
    <w:rsid w:val="000B0FB1"/>
    <w:rsid w:val="000E1E04"/>
    <w:rsid w:val="000E4FF1"/>
    <w:rsid w:val="000F376D"/>
    <w:rsid w:val="001021B0"/>
    <w:rsid w:val="0011386C"/>
    <w:rsid w:val="00133E50"/>
    <w:rsid w:val="00143398"/>
    <w:rsid w:val="00151192"/>
    <w:rsid w:val="001515CD"/>
    <w:rsid w:val="0018422F"/>
    <w:rsid w:val="00197ABA"/>
    <w:rsid w:val="00197AED"/>
    <w:rsid w:val="001A1999"/>
    <w:rsid w:val="001A2DB9"/>
    <w:rsid w:val="001C1BE1"/>
    <w:rsid w:val="001C3FE7"/>
    <w:rsid w:val="001D7289"/>
    <w:rsid w:val="001E0091"/>
    <w:rsid w:val="001E0156"/>
    <w:rsid w:val="00205731"/>
    <w:rsid w:val="0022631D"/>
    <w:rsid w:val="00266943"/>
    <w:rsid w:val="00295B92"/>
    <w:rsid w:val="002A221C"/>
    <w:rsid w:val="002C3EEA"/>
    <w:rsid w:val="002E4E6F"/>
    <w:rsid w:val="002F16CC"/>
    <w:rsid w:val="002F1FEB"/>
    <w:rsid w:val="0030095E"/>
    <w:rsid w:val="00306456"/>
    <w:rsid w:val="003525E1"/>
    <w:rsid w:val="003538AF"/>
    <w:rsid w:val="00362165"/>
    <w:rsid w:val="00371B1D"/>
    <w:rsid w:val="00377FD5"/>
    <w:rsid w:val="003A21BF"/>
    <w:rsid w:val="003B2758"/>
    <w:rsid w:val="003B3659"/>
    <w:rsid w:val="003E3D40"/>
    <w:rsid w:val="003E6978"/>
    <w:rsid w:val="003F1DED"/>
    <w:rsid w:val="00433E3C"/>
    <w:rsid w:val="0045231C"/>
    <w:rsid w:val="00472069"/>
    <w:rsid w:val="00472B36"/>
    <w:rsid w:val="00474C2F"/>
    <w:rsid w:val="004760F9"/>
    <w:rsid w:val="004764CD"/>
    <w:rsid w:val="0048363E"/>
    <w:rsid w:val="004875E0"/>
    <w:rsid w:val="004A08D4"/>
    <w:rsid w:val="004B0B61"/>
    <w:rsid w:val="004C6306"/>
    <w:rsid w:val="004D078F"/>
    <w:rsid w:val="004E376E"/>
    <w:rsid w:val="00503BCC"/>
    <w:rsid w:val="00512CCA"/>
    <w:rsid w:val="00546023"/>
    <w:rsid w:val="0054691F"/>
    <w:rsid w:val="005737F9"/>
    <w:rsid w:val="00586720"/>
    <w:rsid w:val="005B6CDE"/>
    <w:rsid w:val="005D2946"/>
    <w:rsid w:val="005D5FBD"/>
    <w:rsid w:val="005F40FF"/>
    <w:rsid w:val="00607C9A"/>
    <w:rsid w:val="00615ABA"/>
    <w:rsid w:val="00624DF1"/>
    <w:rsid w:val="006378E8"/>
    <w:rsid w:val="00646760"/>
    <w:rsid w:val="00651B2D"/>
    <w:rsid w:val="00662FC5"/>
    <w:rsid w:val="00690ECB"/>
    <w:rsid w:val="00694831"/>
    <w:rsid w:val="00695CA4"/>
    <w:rsid w:val="006A38B4"/>
    <w:rsid w:val="006B2E21"/>
    <w:rsid w:val="006B40C0"/>
    <w:rsid w:val="006C0266"/>
    <w:rsid w:val="006C7D24"/>
    <w:rsid w:val="006D130E"/>
    <w:rsid w:val="006D3D2C"/>
    <w:rsid w:val="006E0D92"/>
    <w:rsid w:val="006E1A83"/>
    <w:rsid w:val="006F2265"/>
    <w:rsid w:val="006F2779"/>
    <w:rsid w:val="007060FC"/>
    <w:rsid w:val="00707525"/>
    <w:rsid w:val="00710109"/>
    <w:rsid w:val="00764787"/>
    <w:rsid w:val="007732E7"/>
    <w:rsid w:val="0078682E"/>
    <w:rsid w:val="007906EB"/>
    <w:rsid w:val="007A6236"/>
    <w:rsid w:val="007C2595"/>
    <w:rsid w:val="007C41C0"/>
    <w:rsid w:val="007C73B3"/>
    <w:rsid w:val="00812346"/>
    <w:rsid w:val="0081420B"/>
    <w:rsid w:val="00834EE8"/>
    <w:rsid w:val="008824C9"/>
    <w:rsid w:val="0089115B"/>
    <w:rsid w:val="00895EDF"/>
    <w:rsid w:val="008C3696"/>
    <w:rsid w:val="008C4E62"/>
    <w:rsid w:val="008E493A"/>
    <w:rsid w:val="008F3A4E"/>
    <w:rsid w:val="009042FC"/>
    <w:rsid w:val="00921F92"/>
    <w:rsid w:val="00945818"/>
    <w:rsid w:val="00964F6D"/>
    <w:rsid w:val="00990806"/>
    <w:rsid w:val="009B70AF"/>
    <w:rsid w:val="009C5E0F"/>
    <w:rsid w:val="009D78F1"/>
    <w:rsid w:val="009E75FF"/>
    <w:rsid w:val="00A2057E"/>
    <w:rsid w:val="00A219F2"/>
    <w:rsid w:val="00A306F5"/>
    <w:rsid w:val="00A31820"/>
    <w:rsid w:val="00A40B8F"/>
    <w:rsid w:val="00A53896"/>
    <w:rsid w:val="00A90AAB"/>
    <w:rsid w:val="00AA32E4"/>
    <w:rsid w:val="00AB3DA1"/>
    <w:rsid w:val="00AC270A"/>
    <w:rsid w:val="00AC7093"/>
    <w:rsid w:val="00AD07B9"/>
    <w:rsid w:val="00AD36DC"/>
    <w:rsid w:val="00AD59DC"/>
    <w:rsid w:val="00AE52A8"/>
    <w:rsid w:val="00AF4B91"/>
    <w:rsid w:val="00B014F1"/>
    <w:rsid w:val="00B01A4E"/>
    <w:rsid w:val="00B064ED"/>
    <w:rsid w:val="00B20821"/>
    <w:rsid w:val="00B40416"/>
    <w:rsid w:val="00B41DD9"/>
    <w:rsid w:val="00B5053C"/>
    <w:rsid w:val="00B5549A"/>
    <w:rsid w:val="00B60ED7"/>
    <w:rsid w:val="00B638CB"/>
    <w:rsid w:val="00B64C9A"/>
    <w:rsid w:val="00B65761"/>
    <w:rsid w:val="00B75762"/>
    <w:rsid w:val="00B77420"/>
    <w:rsid w:val="00B77724"/>
    <w:rsid w:val="00B872E3"/>
    <w:rsid w:val="00B91DE2"/>
    <w:rsid w:val="00B94EA2"/>
    <w:rsid w:val="00BA03B0"/>
    <w:rsid w:val="00BA0770"/>
    <w:rsid w:val="00BA2959"/>
    <w:rsid w:val="00BA60BE"/>
    <w:rsid w:val="00BB0A93"/>
    <w:rsid w:val="00BB3C52"/>
    <w:rsid w:val="00BB70ED"/>
    <w:rsid w:val="00BB719C"/>
    <w:rsid w:val="00BD3D4E"/>
    <w:rsid w:val="00BF1465"/>
    <w:rsid w:val="00BF4745"/>
    <w:rsid w:val="00BF5EA1"/>
    <w:rsid w:val="00C0315B"/>
    <w:rsid w:val="00C05980"/>
    <w:rsid w:val="00C33548"/>
    <w:rsid w:val="00C374E6"/>
    <w:rsid w:val="00C716A7"/>
    <w:rsid w:val="00C8023C"/>
    <w:rsid w:val="00C84DF7"/>
    <w:rsid w:val="00C96337"/>
    <w:rsid w:val="00C96BED"/>
    <w:rsid w:val="00CB2747"/>
    <w:rsid w:val="00CB44D2"/>
    <w:rsid w:val="00CB5A7D"/>
    <w:rsid w:val="00CC1F23"/>
    <w:rsid w:val="00CD4C6F"/>
    <w:rsid w:val="00CE4AB2"/>
    <w:rsid w:val="00CE6545"/>
    <w:rsid w:val="00CF1A81"/>
    <w:rsid w:val="00CF1F70"/>
    <w:rsid w:val="00D077A7"/>
    <w:rsid w:val="00D14EA3"/>
    <w:rsid w:val="00D23F7A"/>
    <w:rsid w:val="00D350DE"/>
    <w:rsid w:val="00D35569"/>
    <w:rsid w:val="00D36189"/>
    <w:rsid w:val="00D4065B"/>
    <w:rsid w:val="00D606A4"/>
    <w:rsid w:val="00D70510"/>
    <w:rsid w:val="00D80C64"/>
    <w:rsid w:val="00D86742"/>
    <w:rsid w:val="00D9338C"/>
    <w:rsid w:val="00DA5D25"/>
    <w:rsid w:val="00DD11FD"/>
    <w:rsid w:val="00DD48DB"/>
    <w:rsid w:val="00DE06F1"/>
    <w:rsid w:val="00DE532C"/>
    <w:rsid w:val="00E00F6D"/>
    <w:rsid w:val="00E16758"/>
    <w:rsid w:val="00E243EA"/>
    <w:rsid w:val="00E3129E"/>
    <w:rsid w:val="00E33A25"/>
    <w:rsid w:val="00E4188B"/>
    <w:rsid w:val="00E54C4D"/>
    <w:rsid w:val="00E56328"/>
    <w:rsid w:val="00E63709"/>
    <w:rsid w:val="00EA01A2"/>
    <w:rsid w:val="00EA150B"/>
    <w:rsid w:val="00EA568C"/>
    <w:rsid w:val="00EA69D4"/>
    <w:rsid w:val="00EA767F"/>
    <w:rsid w:val="00EB59EE"/>
    <w:rsid w:val="00EC4396"/>
    <w:rsid w:val="00ED0BCC"/>
    <w:rsid w:val="00ED64F1"/>
    <w:rsid w:val="00EE5F1F"/>
    <w:rsid w:val="00EF0308"/>
    <w:rsid w:val="00EF16D0"/>
    <w:rsid w:val="00F10AFE"/>
    <w:rsid w:val="00F1344F"/>
    <w:rsid w:val="00F1517C"/>
    <w:rsid w:val="00F20BE4"/>
    <w:rsid w:val="00F31004"/>
    <w:rsid w:val="00F51BFA"/>
    <w:rsid w:val="00F64167"/>
    <w:rsid w:val="00F6673B"/>
    <w:rsid w:val="00F77AAD"/>
    <w:rsid w:val="00F916C4"/>
    <w:rsid w:val="00F92F04"/>
    <w:rsid w:val="00FB097B"/>
    <w:rsid w:val="00FC7107"/>
    <w:rsid w:val="00FD53C3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71FFFE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BF5EA1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F5EA1"/>
    <w:rPr>
      <w:rFonts w:ascii="Times Armenian" w:eastAsia="Times New Roman" w:hAnsi="Times Armenian" w:cs="Times Armenian"/>
      <w:sz w:val="24"/>
      <w:szCs w:val="24"/>
    </w:rPr>
  </w:style>
  <w:style w:type="paragraph" w:customStyle="1" w:styleId="ListParagraph2">
    <w:name w:val="List Paragraph2"/>
    <w:basedOn w:val="a"/>
    <w:rsid w:val="00B064ED"/>
    <w:pPr>
      <w:spacing w:before="0" w:after="0"/>
      <w:ind w:left="720" w:firstLine="0"/>
      <w:contextualSpacing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760F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b">
    <w:name w:val="Основной текст с отступом Знак"/>
    <w:basedOn w:val="a0"/>
    <w:link w:val="aa"/>
    <w:rsid w:val="004760F9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23DA-62DE-4337-89E5-1C23739F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164</cp:revision>
  <cp:lastPrinted>2024-02-15T05:51:00Z</cp:lastPrinted>
  <dcterms:created xsi:type="dcterms:W3CDTF">2021-06-28T12:08:00Z</dcterms:created>
  <dcterms:modified xsi:type="dcterms:W3CDTF">2025-06-30T13:34:00Z</dcterms:modified>
</cp:coreProperties>
</file>