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07C4AE01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E302E8">
        <w:rPr>
          <w:rFonts w:ascii="Sylfaen" w:hAnsi="Sylfaen"/>
          <w:b/>
          <w:sz w:val="20"/>
          <w:lang w:val="hy-AM"/>
        </w:rPr>
        <w:t>2</w:t>
      </w:r>
      <w:r w:rsidR="001D251D">
        <w:rPr>
          <w:rFonts w:ascii="Sylfaen" w:hAnsi="Sylfaen"/>
          <w:b/>
          <w:sz w:val="20"/>
          <w:lang w:val="hy-AM"/>
        </w:rPr>
        <w:t>2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1002"/>
        <w:gridCol w:w="250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678" w:type="dxa"/>
            <w:gridSpan w:val="31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725C4E" w14:paraId="796D388F" w14:textId="77777777" w:rsidTr="00E36EE8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725C4E" w14:paraId="02BE1D52" w14:textId="77777777" w:rsidTr="00E36EE8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</w:p>
          <w:p w14:paraId="0C83372C" w14:textId="20E8524D" w:rsidR="002A5C62" w:rsidRPr="00725C4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</w:p>
          <w:p w14:paraId="01CC38D9" w14:textId="346B1EA4" w:rsidR="001C40C4" w:rsidRPr="00725C4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1D251D" w:rsidRPr="00725C4E" w14:paraId="6CB0AC86" w14:textId="77777777" w:rsidTr="001D251D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1D251D" w:rsidRPr="00725C4E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1F035" w14:textId="1B02E6BC" w:rsidR="001D251D" w:rsidRPr="001D251D" w:rsidRDefault="001D251D" w:rsidP="001D251D">
            <w:pPr>
              <w:ind w:left="567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u w:val="single"/>
                <w:lang w:val="af-ZA" w:eastAsia="ru-RU"/>
              </w:rPr>
            </w:pPr>
            <w:hyperlink r:id="rId8" w:history="1">
              <w:r w:rsidRPr="001D251D">
                <w:rPr>
                  <w:rStyle w:val="ae"/>
                  <w:rFonts w:ascii="GHEA Grapalat" w:hAnsi="GHEA Grapalat"/>
                  <w:color w:val="000000" w:themeColor="text1"/>
                  <w:sz w:val="16"/>
                  <w:szCs w:val="16"/>
                </w:rPr>
                <w:t>վարագույրներ</w:t>
              </w:r>
            </w:hyperlink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F4FF25D" w:rsidR="001D251D" w:rsidRPr="00725C4E" w:rsidRDefault="001D251D" w:rsidP="001D251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մետր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D8F502E" w:rsidR="001D251D" w:rsidRPr="00725C4E" w:rsidRDefault="001D251D" w:rsidP="001D25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30,6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26F2AEA" w:rsidR="001D251D" w:rsidRPr="00725C4E" w:rsidRDefault="001D251D" w:rsidP="001D25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30,6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C93227C" w:rsidR="001D251D" w:rsidRPr="00725C4E" w:rsidRDefault="001D251D" w:rsidP="001D25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212670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891E2C" w:rsidR="001D251D" w:rsidRPr="00725C4E" w:rsidRDefault="001D251D" w:rsidP="001D25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212670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4FFD9BB" w:rsidR="001D251D" w:rsidRPr="005077E1" w:rsidRDefault="001D251D" w:rsidP="001D251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Pr="001D251D">
                <w:rPr>
                  <w:rStyle w:val="ae"/>
                  <w:rFonts w:ascii="GHEA Grapalat" w:hAnsi="GHEA Grapalat"/>
                  <w:color w:val="000000" w:themeColor="text1"/>
                  <w:sz w:val="16"/>
                  <w:szCs w:val="16"/>
                </w:rPr>
                <w:t>վարագույրներ</w:t>
              </w:r>
            </w:hyperlink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2AFA24D" w:rsidR="001D251D" w:rsidRPr="00182D52" w:rsidRDefault="001D251D" w:rsidP="001D25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0" w:history="1">
              <w:r w:rsidRPr="001D251D">
                <w:rPr>
                  <w:rStyle w:val="ae"/>
                  <w:rFonts w:ascii="GHEA Grapalat" w:hAnsi="GHEA Grapalat"/>
                  <w:color w:val="000000" w:themeColor="text1"/>
                  <w:sz w:val="16"/>
                  <w:szCs w:val="16"/>
                </w:rPr>
                <w:t>վարագույրներ</w:t>
              </w:r>
            </w:hyperlink>
          </w:p>
        </w:tc>
      </w:tr>
      <w:tr w:rsidR="001D251D" w:rsidRPr="00725C4E" w14:paraId="5414A877" w14:textId="77777777" w:rsidTr="001D251D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ED5174B" w14:textId="3B36C3E0" w:rsidR="001D251D" w:rsidRPr="00725C4E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EB92AD" w14:textId="595A75A4" w:rsidR="001D251D" w:rsidRPr="001D251D" w:rsidRDefault="001D251D" w:rsidP="001D251D">
            <w:pPr>
              <w:spacing w:before="0" w:after="0"/>
              <w:ind w:left="28" w:hanging="9"/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u w:val="single"/>
                <w:lang w:val="hy-AM"/>
              </w:rPr>
            </w:pPr>
            <w:hyperlink r:id="rId11" w:history="1">
              <w:r w:rsidRPr="001D251D">
                <w:rPr>
                  <w:rStyle w:val="ae"/>
                  <w:rFonts w:ascii="GHEA Grapalat" w:hAnsi="GHEA Grapalat"/>
                  <w:color w:val="000000" w:themeColor="text1"/>
                  <w:sz w:val="16"/>
                  <w:szCs w:val="16"/>
                </w:rPr>
                <w:t>վարագույրներ</w:t>
              </w:r>
            </w:hyperlink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EF90" w14:textId="7A2274FB" w:rsidR="001D251D" w:rsidRPr="00725C4E" w:rsidRDefault="001D251D" w:rsidP="001D251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մետր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10C68" w14:textId="6F302471" w:rsidR="001D251D" w:rsidRPr="00725C4E" w:rsidRDefault="001D251D" w:rsidP="001D25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32,9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A1E2" w14:textId="1A72107E" w:rsidR="001D251D" w:rsidRPr="00725C4E" w:rsidRDefault="001D251D" w:rsidP="001D25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32,9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04C77" w14:textId="16DF97AC" w:rsidR="001D251D" w:rsidRPr="00725C4E" w:rsidRDefault="001D251D" w:rsidP="001D25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268464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26A9D" w14:textId="67534E98" w:rsidR="001D251D" w:rsidRPr="00725C4E" w:rsidRDefault="001D251D" w:rsidP="001D25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D25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268464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0ECC3" w14:textId="5C123CB4" w:rsidR="001D251D" w:rsidRPr="005077E1" w:rsidRDefault="001D251D" w:rsidP="001D251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hyperlink r:id="rId12" w:history="1">
              <w:r w:rsidRPr="001D251D">
                <w:rPr>
                  <w:rStyle w:val="ae"/>
                  <w:rFonts w:ascii="GHEA Grapalat" w:hAnsi="GHEA Grapalat"/>
                  <w:color w:val="000000" w:themeColor="text1"/>
                  <w:sz w:val="16"/>
                  <w:szCs w:val="16"/>
                </w:rPr>
                <w:t>վարագույրներ</w:t>
              </w:r>
            </w:hyperlink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7EBF9" w14:textId="779316B6" w:rsidR="001D251D" w:rsidRPr="00182D52" w:rsidRDefault="001D251D" w:rsidP="001D25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hyperlink r:id="rId13" w:history="1">
              <w:r w:rsidRPr="001D251D">
                <w:rPr>
                  <w:rStyle w:val="ae"/>
                  <w:rFonts w:ascii="GHEA Grapalat" w:hAnsi="GHEA Grapalat"/>
                  <w:color w:val="000000" w:themeColor="text1"/>
                  <w:sz w:val="16"/>
                  <w:szCs w:val="16"/>
                </w:rPr>
                <w:t>վարագույրներ</w:t>
              </w:r>
            </w:hyperlink>
          </w:p>
        </w:tc>
      </w:tr>
      <w:tr w:rsidR="008A023B" w:rsidRPr="00725C4E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451180E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D251D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8A023B" w:rsidRPr="00725C4E" w14:paraId="199F948A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7688912" w:rsidR="008A023B" w:rsidRPr="00E302E8" w:rsidRDefault="00E302E8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302E8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0</w:t>
            </w:r>
            <w:r w:rsidR="001D251D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5</w:t>
            </w:r>
            <w:r w:rsidR="008A023B" w:rsidRPr="00E302E8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302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Pr="00E302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="008A023B" w:rsidRPr="00E302E8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302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8A023B" w:rsidRPr="00725C4E" w14:paraId="53B7B979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8A023B" w:rsidRPr="00725C4E" w14:paraId="13FE412E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8A023B" w:rsidRPr="00725C4E" w14:paraId="321D26CF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0776DB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0DC4861" w14:textId="77777777" w:rsidTr="00E36EE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129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709" w:type="dxa"/>
            <w:gridSpan w:val="20"/>
            <w:shd w:val="clear" w:color="auto" w:fill="auto"/>
            <w:vAlign w:val="center"/>
          </w:tcPr>
          <w:p w14:paraId="1FD38684" w14:textId="47E1F3AB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8A023B" w:rsidRPr="00725C4E" w14:paraId="3FD00E3A" w14:textId="77777777" w:rsidTr="00E36EE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29" w:type="dxa"/>
            <w:gridSpan w:val="7"/>
            <w:vMerge/>
            <w:shd w:val="clear" w:color="auto" w:fill="auto"/>
            <w:vAlign w:val="center"/>
          </w:tcPr>
          <w:p w14:paraId="7835142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542D6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1D251D" w:rsidRPr="00725C4E" w14:paraId="090196A8" w14:textId="77777777" w:rsidTr="009E12A7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9" w:type="dxa"/>
            <w:gridSpan w:val="7"/>
            <w:shd w:val="clear" w:color="auto" w:fill="auto"/>
            <w:vAlign w:val="center"/>
          </w:tcPr>
          <w:p w14:paraId="449366E1" w14:textId="154C7AE3" w:rsidR="001D251D" w:rsidRPr="001D251D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 w:rsidRPr="001D251D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Միսակ Տոնոյան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5DE9E87" w14:textId="7B32CEB7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212670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28748440" w14:textId="167C7DF2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02519C" w14:textId="1A239962" w:rsidR="001D251D" w:rsidRPr="00E302E8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212670</w:t>
            </w:r>
          </w:p>
        </w:tc>
      </w:tr>
      <w:tr w:rsidR="001D251D" w:rsidRPr="00725C4E" w14:paraId="71F52911" w14:textId="77777777" w:rsidTr="009E12A7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35BDE17" w14:textId="3EA6B855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7663BAE5" w14:textId="4F5F78D8" w:rsidR="001D251D" w:rsidRPr="001D251D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 w:rsidRPr="001D251D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Միսակ Տոնոյան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B05D947" w14:textId="68F1B8A5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268464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5A6D5CD2" w14:textId="40F87658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08ED103" w14:textId="7B09F883" w:rsidR="001D251D" w:rsidRPr="00E302E8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268464</w:t>
            </w:r>
          </w:p>
        </w:tc>
      </w:tr>
      <w:tr w:rsidR="008A023B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10ED06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A023B" w:rsidRPr="00725C4E" w14:paraId="552679BF" w14:textId="77777777" w:rsidTr="00E36EE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5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83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8A023B" w:rsidRPr="00725C4E" w14:paraId="3CA6FABC" w14:textId="77777777" w:rsidTr="00E36EE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A023B" w:rsidRPr="00725C4E" w14:paraId="5E96A1C5" w14:textId="77777777" w:rsidTr="00E36EE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22ACAFB" w14:textId="77777777" w:rsidTr="00E36EE8">
        <w:trPr>
          <w:gridAfter w:val="1"/>
          <w:wAfter w:w="185" w:type="dxa"/>
          <w:trHeight w:val="60"/>
        </w:trPr>
        <w:tc>
          <w:tcPr>
            <w:tcW w:w="2552" w:type="dxa"/>
            <w:gridSpan w:val="6"/>
            <w:shd w:val="clear" w:color="auto" w:fill="auto"/>
            <w:vAlign w:val="center"/>
          </w:tcPr>
          <w:p w14:paraId="514F7E40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836" w:type="dxa"/>
            <w:gridSpan w:val="26"/>
            <w:shd w:val="clear" w:color="auto" w:fill="auto"/>
            <w:vAlign w:val="center"/>
          </w:tcPr>
          <w:p w14:paraId="71AB42B3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Ծանոթություն` Հայտերի մերժման այլ հիմքեր</w:t>
            </w:r>
          </w:p>
        </w:tc>
      </w:tr>
      <w:tr w:rsidR="008A023B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F9680A3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2026թ</w:t>
            </w:r>
            <w:r w:rsidR="008A023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A023B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8A023B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8A023B" w:rsidRPr="00725C4E" w14:paraId="2254FA5C" w14:textId="42FA5C9D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34CC5AD5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վար 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8A023B" w:rsidRPr="00725C4E" w14:paraId="3C75DA26" w14:textId="499CC68A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797EE4" w14:textId="3ABB1A34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վար 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8A023B" w:rsidRPr="00725C4E" w14:paraId="0682C6BE" w14:textId="77777777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4F6FA326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վար 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8A023B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20F225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</w:p>
        </w:tc>
      </w:tr>
      <w:tr w:rsidR="008A023B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3EE0CE1" w14:textId="71BA6A0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Գինը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 դրամ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8A023B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7FA13F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8A023B" w:rsidRPr="00725C4E" w:rsidRDefault="008A023B" w:rsidP="008A023B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8A023B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71CCAAD0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 w:rsidR="006F2082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-2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01C87E29" w:rsidR="008A023B" w:rsidRPr="00725C4E" w:rsidRDefault="001D251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 w:rsidRPr="001D251D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Միսակ Տոնոյան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2183B64C" w14:textId="278635F1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</w:t>
            </w:r>
            <w:r w:rsidR="0059653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  <w:r w:rsidR="001D251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4F54951" w14:textId="5EDD01C4" w:rsidR="008A023B" w:rsidRPr="00725C4E" w:rsidRDefault="001D251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 2026թ</w:t>
            </w:r>
            <w:r w:rsidR="008A023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263CE635" w:rsidR="008A023B" w:rsidRPr="00725C4E" w:rsidRDefault="005965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  <w:r w:rsidR="001D251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մարտի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  <w:r w:rsidR="008A023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63092277" w:rsidR="008A023B" w:rsidRPr="00725C4E" w:rsidRDefault="001D251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481134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A8C9303" w:rsidR="008A023B" w:rsidRPr="00725C4E" w:rsidRDefault="001D251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481134</w:t>
            </w:r>
          </w:p>
        </w:tc>
      </w:tr>
      <w:tr w:rsidR="008A023B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265AE8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A023B" w:rsidRPr="00725C4E" w14:paraId="1F657639" w14:textId="77777777" w:rsidTr="00E36EE8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8A023B" w:rsidRPr="00725C4E" w14:paraId="20BC55B9" w14:textId="77777777" w:rsidTr="00E36EE8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3C1DA22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 w:rsidR="006F2082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-2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39517C0" w:rsidR="008A023B" w:rsidRPr="00725C4E" w:rsidRDefault="001D251D" w:rsidP="008A023B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 w:rsidRPr="001D251D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Միսակ Տոնոյան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163C6" w14:textId="424660D6" w:rsidR="001D251D" w:rsidRPr="001D251D" w:rsidRDefault="001D251D" w:rsidP="001D251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DejaVuSerifCondensed"/>
                <w:sz w:val="16"/>
                <w:szCs w:val="16"/>
                <w:lang w:val="hy-AM"/>
              </w:rPr>
            </w:pPr>
            <w:r w:rsidRPr="001D251D">
              <w:rPr>
                <w:rFonts w:ascii="GHEA Grapalat" w:eastAsiaTheme="minorHAnsi" w:hAnsi="GHEA Grapalat" w:cs="DejaVuSerifCondensed"/>
                <w:sz w:val="16"/>
                <w:szCs w:val="16"/>
                <w:lang w:val="hy-AM"/>
              </w:rPr>
              <w:t>ԵՐԵՎԱՆ ՄԱԼԱԹԻԱ-ՍԵԲԱՍՏԻԱ ՏԻՉԻՆԱՅԻ Փ. 65/</w:t>
            </w:r>
          </w:p>
          <w:p w14:paraId="4916BA54" w14:textId="548D8695" w:rsidR="008A023B" w:rsidRPr="001D251D" w:rsidRDefault="001D251D" w:rsidP="001D251D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1D251D">
              <w:rPr>
                <w:rFonts w:ascii="GHEA Grapalat" w:eastAsiaTheme="minorHAnsi" w:hAnsi="GHEA Grapalat" w:cs="DejaVuSerifCondensed"/>
                <w:sz w:val="16"/>
                <w:szCs w:val="16"/>
                <w:lang w:val="ru-RU"/>
              </w:rPr>
              <w:t>2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8A023B" w:rsidRPr="00725C4E" w:rsidRDefault="008A023B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FEFD46F" w:rsidR="008A023B" w:rsidRPr="00725C4E" w:rsidRDefault="008A023B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Հ/Հ</w:t>
            </w:r>
            <w:r w:rsidRPr="001D251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="001D251D" w:rsidRPr="001D251D">
              <w:rPr>
                <w:rFonts w:ascii="GHEA Grapalat" w:eastAsiaTheme="minorHAnsi" w:hAnsi="GHEA Grapalat" w:cs="DejaVuSerifCondensed"/>
                <w:sz w:val="16"/>
                <w:szCs w:val="16"/>
                <w:lang w:val="ru-RU"/>
              </w:rPr>
              <w:t>2474204836350000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0B836F5" w:rsidR="008A023B" w:rsidRPr="00725C4E" w:rsidRDefault="001D251D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28173635</w:t>
            </w:r>
          </w:p>
        </w:tc>
      </w:tr>
      <w:tr w:rsidR="008A023B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393BE26B" w14:textId="77777777" w:rsidR="008A023B" w:rsidRPr="00725C4E" w:rsidRDefault="008A023B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8A023B" w:rsidRPr="001D251D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8A023B" w:rsidRPr="001D251D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0FF974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D251D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0AD8E25E" w14:textId="1AC9C09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14" w:history="1">
              <w:r w:rsidRPr="00725C4E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  <w:tr w:rsidR="008A023B" w:rsidRPr="001D251D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27E950A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8A023B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A66F2D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D251D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A023B" w:rsidRPr="001D251D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1D251D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8A023B" w:rsidRPr="001D251D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5759736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9EAD14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3A19DB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023B" w:rsidRPr="00725C4E" w14:paraId="002AF1AD" w14:textId="77777777" w:rsidTr="00E36EE8">
        <w:trPr>
          <w:gridAfter w:val="1"/>
          <w:wAfter w:w="185" w:type="dxa"/>
          <w:trHeight w:val="47"/>
        </w:trPr>
        <w:tc>
          <w:tcPr>
            <w:tcW w:w="3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A023B" w:rsidRPr="00725C4E" w14:paraId="6C6C269C" w14:textId="77777777" w:rsidTr="00E36EE8">
        <w:trPr>
          <w:gridAfter w:val="1"/>
          <w:wAfter w:w="185" w:type="dxa"/>
          <w:trHeight w:val="47"/>
        </w:trPr>
        <w:tc>
          <w:tcPr>
            <w:tcW w:w="3545" w:type="dxa"/>
            <w:gridSpan w:val="9"/>
            <w:shd w:val="clear" w:color="auto" w:fill="auto"/>
            <w:vAlign w:val="center"/>
          </w:tcPr>
          <w:p w14:paraId="0A862370" w14:textId="373ABFB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570A2BE5" w14:textId="7E81E99A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8A023B" w:rsidRPr="00725C4E" w:rsidRDefault="00A7195C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15" w:history="1">
              <w:r w:rsidR="008A023B" w:rsidRPr="00725C4E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80DD" w14:textId="77777777" w:rsidR="00A7195C" w:rsidRDefault="00A7195C" w:rsidP="0022631D">
      <w:pPr>
        <w:spacing w:before="0" w:after="0"/>
      </w:pPr>
      <w:r>
        <w:separator/>
      </w:r>
    </w:p>
  </w:endnote>
  <w:endnote w:type="continuationSeparator" w:id="0">
    <w:p w14:paraId="2FB29092" w14:textId="77777777" w:rsidR="00A7195C" w:rsidRDefault="00A719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C920" w14:textId="77777777" w:rsidR="00A7195C" w:rsidRDefault="00A7195C" w:rsidP="0022631D">
      <w:pPr>
        <w:spacing w:before="0" w:after="0"/>
      </w:pPr>
      <w:r>
        <w:separator/>
      </w:r>
    </w:p>
  </w:footnote>
  <w:footnote w:type="continuationSeparator" w:id="0">
    <w:p w14:paraId="13D62457" w14:textId="77777777" w:rsidR="00A7195C" w:rsidRDefault="00A7195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5A07"/>
    <w:rsid w:val="00247146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F7D07C4-6202-4A2F-B5FF-48CF2A7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meps.am/ppcm/private/tenders/lots?tid=a5af8b2d-73ff-434d-ad0d-778871fce779" TargetMode="External"/><Relationship Id="rId13" Type="http://schemas.openxmlformats.org/officeDocument/2006/relationships/hyperlink" Target="https://www.armeps.am/ppcm/private/tenders/lots?tid=a5af8b2d-73ff-434d-ad0d-778871fce7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meps.am/ppcm/private/tenders/lots?tid=a5af8b2d-73ff-434d-ad0d-778871fce77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meps.am/ppcm/private/tenders/lots?tid=a5af8b2d-73ff-434d-ad0d-778871fce7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ngnum@mail.ru" TargetMode="External"/><Relationship Id="rId10" Type="http://schemas.openxmlformats.org/officeDocument/2006/relationships/hyperlink" Target="https://www.armeps.am/ppcm/private/tenders/lots?tid=a5af8b2d-73ff-434d-ad0d-778871fce7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meps.am/ppcm/private/tenders/lots?tid=a5af8b2d-73ff-434d-ad0d-778871fce779" TargetMode="External"/><Relationship Id="rId14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8D65-9341-4FC2-8222-EA87E43F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86</cp:revision>
  <cp:lastPrinted>2025-02-28T07:51:00Z</cp:lastPrinted>
  <dcterms:created xsi:type="dcterms:W3CDTF">2021-06-28T12:08:00Z</dcterms:created>
  <dcterms:modified xsi:type="dcterms:W3CDTF">2026-03-18T06:43:00Z</dcterms:modified>
</cp:coreProperties>
</file>