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A33F" w14:textId="77777777" w:rsidR="00BB1DB5" w:rsidRPr="00BB1DB5" w:rsidRDefault="00BB1DB5" w:rsidP="00BB1DB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B1D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8E07D28" w14:textId="77777777" w:rsidR="00BB1DB5" w:rsidRPr="00BB1DB5" w:rsidRDefault="00BB1DB5" w:rsidP="00BB1DB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BB1DB5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3F2A9659" w14:textId="3931060F" w:rsidR="0022631D" w:rsidRPr="0022631D" w:rsidRDefault="00BB1DB5" w:rsidP="00BB1DB5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/>
          <w:sz w:val="20"/>
          <w:szCs w:val="20"/>
          <w:lang w:val="hy-AM" w:eastAsia="ru-RU"/>
        </w:rPr>
        <w:t>Հ</w:t>
      </w:r>
      <w:r w:rsidRPr="00BB1DB5">
        <w:rPr>
          <w:rFonts w:ascii="GHEA Grapalat" w:eastAsia="Times New Roman" w:hAnsi="GHEA Grapalat"/>
          <w:sz w:val="20"/>
          <w:szCs w:val="20"/>
          <w:lang w:val="af-ZA" w:eastAsia="ru-RU"/>
        </w:rPr>
        <w:t>Հ ԳԱԱ &lt;Կենդանաբանության և հիդրոէկոլոգիայի գիտական կենտրոն&gt; ՊՈԱԿ-ը</w:t>
      </w:r>
      <w:r w:rsidRPr="00BB1D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ստորև ներկայացնում է իր կարիքների համար </w:t>
      </w:r>
      <w:r w:rsidR="009D2222">
        <w:rPr>
          <w:rFonts w:ascii="GHEA Grapalat" w:hAnsi="GHEA Grapalat"/>
          <w:sz w:val="20"/>
          <w:szCs w:val="20"/>
          <w:lang w:val="hy-AM"/>
        </w:rPr>
        <w:t>լաբորատոր նյութերի</w:t>
      </w:r>
      <w:r w:rsidR="0045607A" w:rsidRPr="006D734E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B1D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նպատակով ԿՀԳԿ-</w:t>
      </w:r>
      <w:r w:rsidRPr="00AC2A48">
        <w:rPr>
          <w:rFonts w:ascii="GHEA Grapalat" w:eastAsia="Times New Roman" w:hAnsi="GHEA Grapalat" w:cs="Sylfaen"/>
          <w:sz w:val="20"/>
          <w:szCs w:val="20"/>
          <w:lang w:val="ru-RU" w:eastAsia="ru-RU"/>
        </w:rPr>
        <w:t>Գ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ՀԱՊՁԲ-2</w:t>
      </w:r>
      <w:r w:rsidR="009D2222"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9D2222"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 202</w:t>
      </w:r>
      <w:r w:rsidR="00325CE4"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3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թվականի </w:t>
      </w:r>
      <w:r w:rsidR="009D2222" w:rsidRPr="00AC2A48">
        <w:rPr>
          <w:rFonts w:ascii="GHEA Grapalat" w:eastAsia="Times New Roman" w:hAnsi="GHEA Grapalat" w:cs="Sylfaen"/>
          <w:sz w:val="20"/>
          <w:szCs w:val="20"/>
          <w:lang w:val="hy-AM" w:eastAsia="ru-RU"/>
        </w:rPr>
        <w:t>սեպտեմբերի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D2222" w:rsidRPr="00AC2A48">
        <w:rPr>
          <w:rFonts w:ascii="GHEA Grapalat" w:eastAsia="Times New Roman" w:hAnsi="GHEA Grapalat" w:cs="Sylfaen"/>
          <w:sz w:val="20"/>
          <w:szCs w:val="20"/>
          <w:lang w:val="hy-AM" w:eastAsia="ru-RU"/>
        </w:rPr>
        <w:t>19</w:t>
      </w:r>
      <w:r w:rsidRPr="00AC2A48">
        <w:rPr>
          <w:rFonts w:ascii="GHEA Grapalat" w:eastAsia="Times New Roman" w:hAnsi="GHEA Grapalat" w:cs="Sylfaen"/>
          <w:sz w:val="20"/>
          <w:szCs w:val="20"/>
          <w:lang w:val="af-ZA" w:eastAsia="ru-RU"/>
        </w:rPr>
        <w:t>-ին</w:t>
      </w:r>
      <w:r w:rsidRPr="00176F6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կնքված</w:t>
      </w:r>
      <w:r w:rsidRPr="00BB1DB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N </w:t>
      </w:r>
      <w:r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ԿՀԳԿ-ԳՀԱՊՁԲ-2</w:t>
      </w:r>
      <w:r w:rsidR="00325CE4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9D2222">
        <w:rPr>
          <w:rFonts w:ascii="GHEA Grapalat" w:eastAsia="Times New Roman" w:hAnsi="GHEA Grapalat" w:cs="Sylfaen"/>
          <w:sz w:val="20"/>
          <w:szCs w:val="20"/>
          <w:lang w:val="hy-AM" w:eastAsia="ru-RU"/>
        </w:rPr>
        <w:t>6</w:t>
      </w:r>
      <w:r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-1</w:t>
      </w:r>
      <w:r w:rsidR="009D222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9D2222"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ԿՀԳԿ-ԳՀԱՊՁԲ-2</w:t>
      </w:r>
      <w:r w:rsidR="009D2222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9D2222"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9D2222">
        <w:rPr>
          <w:rFonts w:ascii="GHEA Grapalat" w:eastAsia="Times New Roman" w:hAnsi="GHEA Grapalat" w:cs="Sylfaen"/>
          <w:sz w:val="20"/>
          <w:szCs w:val="20"/>
          <w:lang w:val="hy-AM" w:eastAsia="ru-RU"/>
        </w:rPr>
        <w:t>6</w:t>
      </w:r>
      <w:r w:rsidR="009D2222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-2, </w:t>
      </w:r>
      <w:r w:rsidR="009D2222"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ԿՀԳԿ-ԳՀԱՊՁԲ-2</w:t>
      </w:r>
      <w:r w:rsidR="009D2222">
        <w:rPr>
          <w:rFonts w:ascii="GHEA Grapalat" w:eastAsia="Times New Roman" w:hAnsi="GHEA Grapalat" w:cs="Sylfaen"/>
          <w:sz w:val="20"/>
          <w:szCs w:val="20"/>
          <w:lang w:val="hy-AM" w:eastAsia="ru-RU"/>
        </w:rPr>
        <w:t>3</w:t>
      </w:r>
      <w:r w:rsidR="009D2222" w:rsidRPr="00E56E78">
        <w:rPr>
          <w:rFonts w:ascii="GHEA Grapalat" w:eastAsia="Times New Roman" w:hAnsi="GHEA Grapalat" w:cs="Sylfaen"/>
          <w:sz w:val="20"/>
          <w:szCs w:val="20"/>
          <w:lang w:val="af-ZA" w:eastAsia="ru-RU"/>
        </w:rPr>
        <w:t>/</w:t>
      </w:r>
      <w:r w:rsidR="009D2222">
        <w:rPr>
          <w:rFonts w:ascii="GHEA Grapalat" w:eastAsia="Times New Roman" w:hAnsi="GHEA Grapalat" w:cs="Sylfaen"/>
          <w:sz w:val="20"/>
          <w:szCs w:val="20"/>
          <w:lang w:val="hy-AM" w:eastAsia="ru-RU"/>
        </w:rPr>
        <w:t>6</w:t>
      </w:r>
      <w:r w:rsidR="009D2222">
        <w:rPr>
          <w:rFonts w:ascii="GHEA Grapalat" w:eastAsia="Times New Roman" w:hAnsi="GHEA Grapalat" w:cs="Sylfaen"/>
          <w:sz w:val="20"/>
          <w:szCs w:val="20"/>
          <w:lang w:val="af-ZA" w:eastAsia="ru-RU"/>
        </w:rPr>
        <w:t>-3</w:t>
      </w:r>
      <w:r w:rsidR="00DF68B6" w:rsidRPr="00DF68B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BB1DB5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tbl>
      <w:tblPr>
        <w:tblW w:w="11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BB1DB5">
        <w:trPr>
          <w:trHeight w:val="146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2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BB1DB5">
        <w:trPr>
          <w:trHeight w:val="110"/>
          <w:jc w:val="center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BB1DB5">
        <w:trPr>
          <w:trHeight w:val="175"/>
          <w:jc w:val="center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BB1DB5">
        <w:trPr>
          <w:trHeight w:val="275"/>
          <w:jc w:val="center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AC2A48" w14:paraId="67A02907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79380DB" w14:textId="49647C50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1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32D1F" w14:textId="1CB6C570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Կղանքից ԴՆԹ անջատման հավաքածու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A6D6C0" w14:textId="65B45AFF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97171" w14:textId="3E7E69F2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1F942" w14:textId="00E2959A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542089" w14:textId="09A06E2C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70ED27" w14:textId="244502D1" w:rsidR="006B2CFC" w:rsidRPr="00DF68B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268BC3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Qiagen մակնիշի QIAamp Fast DNA Stool Mini Kit հավաքածու կամ համարժեք՝ Norgen Biotek Corp. մակնիշի Stool DNA Isolation Kit հավաքածու</w:t>
            </w:r>
          </w:p>
          <w:p w14:paraId="72CC8ED4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Ներառում է մինի սփին-թյուբեր QIamp, QIAGEN պրոտեինազ K, InhibitEX բուֆեր, լվացման և անջատման համար, հավաքի փորձանոթներ (2մլ) </w:t>
            </w:r>
          </w:p>
          <w:p w14:paraId="2C9056CC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Հետագա անալիզների համար բարձր զգայունություն</w:t>
            </w:r>
          </w:p>
          <w:p w14:paraId="385EACA6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ՊՇՌ ինհիբիտորների էֆեկտիվ հեռացում</w:t>
            </w:r>
          </w:p>
          <w:p w14:paraId="23121C4C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Վտանգավոր օրգանական քիմիկատների բացակայություն</w:t>
            </w:r>
          </w:p>
          <w:p w14:paraId="08D447BC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Բարձրորակ գենոմային (մարդու և բակտերիաների) ԴՆԹ-ի արագ անջատում թարմ և սառեցված նմուշներից</w:t>
            </w:r>
          </w:p>
          <w:p w14:paraId="491BC60E" w14:textId="52D0ACA5" w:rsidR="006B2CFC" w:rsidRPr="004D4FCA" w:rsidRDefault="006B2CFC" w:rsidP="006B2CFC">
            <w:pPr>
              <w:tabs>
                <w:tab w:val="left" w:pos="1248"/>
              </w:tabs>
              <w:spacing w:before="0" w:after="0"/>
              <w:ind w:left="0" w:hanging="24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Անջատված ԴՆԹ-ն կազմում է 5-50մկգ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9983F" w14:textId="77777777" w:rsidR="006B2CFC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Qiagen մակնիշի QIAamp Fast DNA Stool Mini Kit հավաքածու</w:t>
            </w:r>
          </w:p>
          <w:p w14:paraId="75B27802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Ներառում է մինի սփին-թյուբեր QIamp, QIAGEN պրոտեինազ K, InhibitEX բուֆեր, լվացման և անջատման համար, հավաքի փորձանոթներ (2մլ) </w:t>
            </w:r>
          </w:p>
          <w:p w14:paraId="5AB2DDBC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Հետագա անալիզների համար բարձր զգայունություն</w:t>
            </w:r>
          </w:p>
          <w:p w14:paraId="1AF15CA0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ՊՇՌ ինհիբիտորների էֆեկտիվ հեռացում</w:t>
            </w:r>
          </w:p>
          <w:p w14:paraId="387B2C1C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Վտանգավոր օրգանական քիմիկատների բացակայություն</w:t>
            </w:r>
          </w:p>
          <w:p w14:paraId="6857FAAC" w14:textId="77777777" w:rsidR="006B2CFC" w:rsidRPr="00A13E0B" w:rsidRDefault="006B2CFC" w:rsidP="006B2CFC">
            <w:pPr>
              <w:pStyle w:val="ListParagraph"/>
              <w:numPr>
                <w:ilvl w:val="0"/>
                <w:numId w:val="2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Բարձրորակ գենոմային (մարդու և բակտերիաների) ԴՆԹ-ի արագ անջատում թարմ և սառեցված նմուշներից</w:t>
            </w:r>
          </w:p>
          <w:p w14:paraId="33949EE3" w14:textId="123883C9" w:rsidR="006B2CFC" w:rsidRPr="004D4FCA" w:rsidRDefault="006B2CFC" w:rsidP="006B2CFC">
            <w:pPr>
              <w:tabs>
                <w:tab w:val="left" w:pos="1248"/>
              </w:tabs>
              <w:spacing w:before="0" w:after="0"/>
              <w:ind w:left="90" w:hanging="9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13E0B">
              <w:rPr>
                <w:rFonts w:ascii="GHEA Grapalat" w:hAnsi="GHEA Grapalat" w:cs="Arial"/>
                <w:sz w:val="16"/>
                <w:szCs w:val="16"/>
                <w:lang w:val="hy-AM"/>
              </w:rPr>
              <w:t>Անջատված ԴՆԹ-ն կազմում է 5-50մկգ</w:t>
            </w:r>
          </w:p>
        </w:tc>
      </w:tr>
      <w:tr w:rsidR="006B2CFC" w:rsidRPr="009D2222" w14:paraId="4E4282D0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B1647BF" w14:textId="5FD6E8B6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3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B2EB8" w14:textId="210CB2AD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Lio-TAQ լիոֆիլիզացված պոլիմերազ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C3BDB" w14:textId="3C1AC5D3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2139CB" w14:textId="1CC8D5F7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10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B2F6B0" w14:textId="01151004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10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AEA4E4" w14:textId="63A34C32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349500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F88856" w14:textId="343EDE87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349500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813A2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LyoFACT™ PCR Pre-Mix-ը լիոֆիլիզացված խառնուրդը նախագծված է հեշտ պահեստավորման համար: Պատրաստի օգտագործման ձևաչափը կարող է պահվել սենյակային ջերմաստիճանում՝ երկարաժամկետ 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պահպանելով կառուցվածքային և քիմիական բաղադրությունը: Այն ամբողջությամբ վերականգնվում է ջրի ավելացումից հետո (վերահիդրացիա):</w:t>
            </w:r>
          </w:p>
          <w:p w14:paraId="2C96041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Նկարագրություն՝</w:t>
            </w:r>
          </w:p>
          <w:p w14:paraId="1227E92F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Աղբյուր՝ Thermus aquaticus</w:t>
            </w:r>
          </w:p>
          <w:p w14:paraId="20296919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5' </w:t>
            </w:r>
            <w:r w:rsidRPr="006B2CFC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3'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ակտիվություն՝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Այո</w:t>
            </w:r>
          </w:p>
          <w:p w14:paraId="6FB1A052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3' </w:t>
            </w:r>
            <w:r w:rsidRPr="006B2CFC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5'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ակտիվություն՝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ոչ</w:t>
            </w:r>
          </w:p>
          <w:p w14:paraId="0C606B7E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Ամպլիֆիկացիայի չափը՝ Taq &lt; 5kb, Multi-Star &lt;1kb</w:t>
            </w:r>
          </w:p>
          <w:p w14:paraId="6A08846E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Թեժ մեկնարկի գործունեություն. Taq (Ոչ), MultiStar (Այո (քիմիական միջնորդությամբ))</w:t>
            </w:r>
          </w:p>
          <w:p w14:paraId="63CD70F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12-13 bp սխալ / 106 bp</w:t>
            </w:r>
          </w:p>
          <w:p w14:paraId="5B746B81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A-tailing. Այո</w:t>
            </w:r>
          </w:p>
          <w:p w14:paraId="1C4D2CA6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Մեկից ավելի թիրախի ուժեղացում մեկ ռեակցիայում (Multistar)</w:t>
            </w:r>
          </w:p>
          <w:p w14:paraId="57B6AEA6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Կիրառություն</w:t>
            </w:r>
          </w:p>
          <w:p w14:paraId="1657080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&lt;Taq&gt;</w:t>
            </w:r>
          </w:p>
          <w:p w14:paraId="23DC83D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սովորական ՊՇՌ • ՊՇՌ սքրինինգ • ՏԱ կլոնավորում • Գաղութի ՊՇՌ</w:t>
            </w:r>
          </w:p>
          <w:p w14:paraId="5DBB5E0B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&lt;Multistar&gt;</w:t>
            </w:r>
          </w:p>
          <w:p w14:paraId="7813C501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Multiplex PCR (~ 13 ժապավեն զուգահեռաբար)</w:t>
            </w:r>
          </w:p>
          <w:p w14:paraId="29799E9E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Ալելային հատուկ PCR (~ 21 ժապավեն զուգահեռաբար)</w:t>
            </w:r>
          </w:p>
          <w:p w14:paraId="39C6D290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Մեթիլացման հատուկ PCR • SNP հայտնաբերում</w:t>
            </w:r>
          </w:p>
          <w:p w14:paraId="1B88BCE0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Ընդհանուր հաջորդականություն • ՏԱ կլոնավորում</w:t>
            </w:r>
          </w:p>
          <w:p w14:paraId="7B9305FC" w14:textId="67C299B1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SSR / MS • UDG համակարգ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6F65D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 xml:space="preserve">LyoFACT™ PCR Pre-Mix-ը լիոֆիլիզացված խառնուրդը նախագծված է հեշտ պահեստավորման համար: Պատրաստի օգտագործման ձևաչափը կարող է պահվել սենյակային ջերմաստիճանում՝ երկարաժամկետ պահպանելով 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կառուցվածքային և քիմիական բաղադրությունը: Այն ամբողջությամբ վերականգնվում է ջրի ավելացումից հետո (վերահիդրացիա):</w:t>
            </w:r>
          </w:p>
          <w:p w14:paraId="3E561558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Նկարագրություն՝</w:t>
            </w:r>
          </w:p>
          <w:p w14:paraId="077D965B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Աղբյուր՝ Thermus aquaticus</w:t>
            </w:r>
          </w:p>
          <w:p w14:paraId="77FDDC2D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5' </w:t>
            </w:r>
            <w:r w:rsidRPr="000F6FB5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3'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ակտիվություն՝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Այո</w:t>
            </w:r>
          </w:p>
          <w:p w14:paraId="60F49040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3' </w:t>
            </w:r>
            <w:r w:rsidRPr="000F6FB5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5'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ակտիվություն՝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ոչ</w:t>
            </w:r>
          </w:p>
          <w:p w14:paraId="214EC24A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Ամպլիֆիկացիայի չափը՝ Taq &lt; 5kb, Multi-Star &lt;1kb</w:t>
            </w:r>
          </w:p>
          <w:p w14:paraId="65805EF5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Թեժ մեկնարկի գործունեություն. Taq (Ոչ), MultiStar (Այո (քիմիական միջնորդությամբ))</w:t>
            </w:r>
          </w:p>
          <w:p w14:paraId="08C7C130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12-13 bp սխալ / 106 bp</w:t>
            </w:r>
          </w:p>
          <w:p w14:paraId="724AFC4A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A-tailing. Այո</w:t>
            </w:r>
          </w:p>
          <w:p w14:paraId="41BDA961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Մեկից ավելի թիրախի ուժեղացում մեկ ռեակցիայում (Multistar)</w:t>
            </w:r>
          </w:p>
          <w:p w14:paraId="2417C9E1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Կիրառություն</w:t>
            </w:r>
          </w:p>
          <w:p w14:paraId="3FA875D6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&lt;Taq&gt;</w:t>
            </w:r>
          </w:p>
          <w:p w14:paraId="3CBD55F4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սովորական ՊՇՌ • ՊՇՌ սքրինինգ • ՏԱ կլոնավորում • Գաղութի ՊՇՌ</w:t>
            </w:r>
          </w:p>
          <w:p w14:paraId="469748DB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&lt;Multistar&gt;</w:t>
            </w:r>
          </w:p>
          <w:p w14:paraId="34D2E3E2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Multiplex PCR (~ 13 ժապավեն զուգահեռաբար)</w:t>
            </w:r>
          </w:p>
          <w:p w14:paraId="197D2547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Ալելային հատուկ PCR (~ 21 ժապավեն զուգահեռաբար)</w:t>
            </w:r>
          </w:p>
          <w:p w14:paraId="710BD5E7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Մեթիլացման հատուկ PCR • SNP հայտնաբերում</w:t>
            </w:r>
          </w:p>
          <w:p w14:paraId="6E19F933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Ընդհանուր հաջորդականություն • ՏԱ կլոնավորում</w:t>
            </w:r>
          </w:p>
          <w:p w14:paraId="52597DF8" w14:textId="757A0426" w:rsidR="006B2CFC" w:rsidRPr="00DF68B6" w:rsidRDefault="006B2CFC" w:rsidP="006B2CF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SSR / MS • UDG համակարգ</w:t>
            </w:r>
          </w:p>
        </w:tc>
      </w:tr>
      <w:tr w:rsidR="006B2CFC" w:rsidRPr="00AC2A48" w14:paraId="33A4A1F1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8A138BB" w14:textId="62A48565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lastRenderedPageBreak/>
              <w:t>4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A4F9A" w14:textId="572022D8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1 kb Plus ԴՆԹ Լադեր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9C8F7B" w14:textId="01793060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90E91" w14:textId="64C34EE6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0A2F3" w14:textId="06C11FFF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81FB1" w14:textId="1ED2C547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493DB" w14:textId="510390B3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8EFD9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ԴՆԹ Լադեր՝  1kb պլյուս, պլազմիդների պարունակությամբ: </w:t>
            </w:r>
          </w:p>
          <w:p w14:paraId="1BA40924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Նկարագրություն՝</w:t>
            </w:r>
          </w:p>
          <w:p w14:paraId="7EFF57C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Բարձր նպատակային խումբ</w:t>
            </w:r>
          </w:p>
          <w:p w14:paraId="24D78C3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Հարմարավետ օգտագործում՝ առանց լրացուցիչ քայլերի</w:t>
            </w:r>
          </w:p>
          <w:p w14:paraId="7C2AFDDB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Ներառված է 6X Loading Dye</w:t>
            </w:r>
          </w:p>
          <w:p w14:paraId="1859BFA2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Խառը բեռնման ներկ.՝ բրոմֆենոլ կապույտ և քսիլեն 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ցիանոլ FF</w:t>
            </w:r>
          </w:p>
          <w:p w14:paraId="4619741B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Կիրառություն՝</w:t>
            </w:r>
          </w:p>
          <w:p w14:paraId="598809DF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ԴՆԹ-ի բեկորների չափի հաստատում</w:t>
            </w:r>
          </w:p>
          <w:p w14:paraId="52EF9696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100 bp Plus՝ փոքր չափս (0,1 ~ 3 kb)</w:t>
            </w:r>
          </w:p>
          <w:p w14:paraId="0A390823" w14:textId="4C70EBE2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 kb Plus. լայն շրջանակի չափ (0,1 ~ 10 kb)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A63AF0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 xml:space="preserve">ԴՆԹ Լադեր՝  1kb պլյուս, պլազմիդների պարունակությամբ: </w:t>
            </w:r>
          </w:p>
          <w:p w14:paraId="2F2FD983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Նկարագրություն՝</w:t>
            </w:r>
          </w:p>
          <w:p w14:paraId="59B845A3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Բարձր նպատակային խումբ</w:t>
            </w:r>
          </w:p>
          <w:p w14:paraId="0D547042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Հարմարավետ օգտագործում՝ առանց լրացուցիչ քայլերի</w:t>
            </w:r>
          </w:p>
          <w:p w14:paraId="7B6358FB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Ներառված է 6X Loading Dye</w:t>
            </w:r>
          </w:p>
          <w:p w14:paraId="2D59A08D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Խառը բեռնման ներկ.՝ բրոմֆենոլ կապույտ և քսիլեն 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ցիանոլ FF</w:t>
            </w:r>
          </w:p>
          <w:p w14:paraId="6271155E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Կիրառություն՝</w:t>
            </w:r>
          </w:p>
          <w:p w14:paraId="274D9051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ԴՆԹ-ի բեկորների չափի հաստատում</w:t>
            </w:r>
          </w:p>
          <w:p w14:paraId="65A62CBE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100 bp Plus՝ փոքր չափս (0,1 ~ 3 kb)</w:t>
            </w:r>
          </w:p>
          <w:p w14:paraId="48F9D672" w14:textId="330F7381" w:rsidR="006B2CFC" w:rsidRPr="00DF68B6" w:rsidRDefault="006B2CFC" w:rsidP="006B2CF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 kb Plus. լայն շրջանակի չափ (0,1 ~ 10 kb)</w:t>
            </w:r>
          </w:p>
        </w:tc>
      </w:tr>
      <w:tr w:rsidR="006B2CFC" w:rsidRPr="00AC2A48" w14:paraId="018A7BFA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4DE55BD0" w14:textId="41C6186C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lastRenderedPageBreak/>
              <w:t>5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01C6B" w14:textId="339A4ACC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Ecodye նուկլեինաթթուների գունանյութ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F1740" w14:textId="68FFE58C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BDF20" w14:textId="3C412F03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EB7F2E" w14:textId="648D88E7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3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AD62A" w14:textId="3821D47E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6DA8E" w14:textId="1A702545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B5680" w14:textId="23160C74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EcoDye™ Nucleic Acid Staining Solution-ը (նուկլեինաթթուների գունանյութ) կայուն և զգայուն ԴՆԹ ներկանյութ է: Այս լյումինեսցենտ ներկը կարող է օգտագործվել ագարոզայի գելային էլեկտրոֆորեզի վրա՝ փոխարինելու էթիդիումի բրոմիդը (EtBr), որն ունի թունավոր ազդեցություն: EcoDye™ Nucleic Acie-ի ներկման լուծույթը ոչ մուտագեն, ոչ ցիտոտոքսիկ արտադրանք է և այն կարող է օգտագործվել ագարոզայի գելը պատրաստելիս դրա փոքր քանակությունը խառնելով: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228F7" w14:textId="72B517FA" w:rsidR="006B2CFC" w:rsidRPr="00DF68B6" w:rsidRDefault="006B2CFC" w:rsidP="006B2CFC">
            <w:pPr>
              <w:spacing w:before="0" w:after="0"/>
              <w:ind w:left="90" w:hanging="9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EcoDye™ Nucleic Acid Staining Solution-ը (նուկլեինաթթուների գունանյութ) կայուն և զգայուն ԴՆԹ ներկանյութ է: Այս լյումինեսցենտ ներկը կարող է օգտագործվել ագարոզայի գելային էլեկտրոֆորեզի վրա՝ փոխարինելու էթիդիումի բրոմիդը (EtBr), որն ունի թունավոր ազդեցություն: EcoDye™ Nucleic Acie-ի ներկման լուծույթը ոչ մուտագեն, ոչ ցիտոտոքսիկ արտադրանք է և այն կարող է օգտագործվել ագարոզայի գելը պատրաստելիս դրա փոքր քանակությունը խառնելով: </w:t>
            </w:r>
          </w:p>
        </w:tc>
      </w:tr>
      <w:tr w:rsidR="006B2CFC" w:rsidRPr="00AC2A48" w14:paraId="3F6B9679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38C2DD0B" w14:textId="0E3E9E15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t>6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A6C3D1" w14:textId="0F4BAD31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H-Star Taq DNA պոլիմերազ 10mM dNTP Mix պարունակությամբ 1000U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2FF8A" w14:textId="39282913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02506F" w14:textId="738AD9C1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2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4A376" w14:textId="4F76218F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2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8FF0DD" w14:textId="376FC3D3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435000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7FFA9" w14:textId="35DB14E3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435000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87F55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H-Star Taq ԴՆԹ պոլիմերազը ապաակտիվացնում է պոլիմերազը մինչև ջերմային ակտիվացման սկզբնական փուլը: Այս հատկության միջոցով այն ապահովում է PCR-ի բարձր արդյունավետություն՝ խուսափելով ոչ սպեցիֆիկ կոնկուրենտ պրայմերների կամ պրայմեր-դիմերների աճից, և շատ հարմար է բարդ ձևանմուշների արդյունավետ ամպլիֆիկացիայի համար: H-Star Taq ԴՆԹ պոլիմերազը օպտիմիզացված է 1 կբ-ից պակաս թիրախային ԴՆԹ-ն ամպլիֆիկացնելու համար, և այն կարող է լրացվել ցիկլը 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մեծացնելով:</w:t>
            </w:r>
          </w:p>
          <w:p w14:paraId="3569946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</w:t>
            </w:r>
          </w:p>
          <w:p w14:paraId="2E6F19E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Աղբյուր՝ Thermus aquaticus</w:t>
            </w:r>
          </w:p>
          <w:p w14:paraId="774238CA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5' </w:t>
            </w:r>
            <w:r w:rsidRPr="006B2CFC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3'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՝ Այո</w:t>
            </w:r>
          </w:p>
          <w:p w14:paraId="42899737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3' </w:t>
            </w:r>
            <w:r w:rsidRPr="006B2CFC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5'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՝ ոչ</w:t>
            </w:r>
          </w:p>
          <w:p w14:paraId="337B004F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Ամպլիֆիկացիայի չափը՝ &lt; 1 կբ PCR</w:t>
            </w:r>
          </w:p>
          <w:p w14:paraId="10C79CAF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Տաք մեկնարկի ակտիվություն՝ այո</w:t>
            </w:r>
          </w:p>
          <w:p w14:paraId="54D2B213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A-tailing. Այո</w:t>
            </w:r>
          </w:p>
          <w:p w14:paraId="32066E33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Սխալների մակարդակը՝ 12 - 13 bp սխալ / 106 bp</w:t>
            </w:r>
          </w:p>
          <w:p w14:paraId="3BBE7890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Կիրառություն:</w:t>
            </w:r>
          </w:p>
          <w:p w14:paraId="15240495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Hot start PCR </w:t>
            </w:r>
          </w:p>
          <w:p w14:paraId="21D07A8F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TA cloning</w:t>
            </w:r>
          </w:p>
          <w:p w14:paraId="55FA7CCA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Բարձր սպեցիֆիկ ՊՇՌ </w:t>
            </w:r>
          </w:p>
          <w:p w14:paraId="05923E1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Իրական ժամանակի ՊՇՌ</w:t>
            </w:r>
          </w:p>
          <w:p w14:paraId="56655ACA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Multiplex PCR </w:t>
            </w:r>
          </w:p>
          <w:p w14:paraId="0958CE14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Ալելային հատուկ PCR</w:t>
            </w:r>
          </w:p>
          <w:p w14:paraId="2EE68ED0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Բարձր G+C հարուստ / Repeat region PCR</w:t>
            </w:r>
          </w:p>
          <w:p w14:paraId="5E01883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Գենոտիպավորում </w:t>
            </w:r>
          </w:p>
          <w:p w14:paraId="3FB7EB22" w14:textId="7BD3B132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Հարմար է UDG համակարգի համար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B08D8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 xml:space="preserve">H-Star Taq ԴՆԹ պոլիմերազը ապաակտիվացնում է պոլիմերազը մինչև ջերմային ակտիվացման սկզբնական փուլը: Այս հատկության միջոցով այն ապահովում է PCR-ի բարձր արդյունավետություն՝ խուսափելով ոչ սպեցիֆիկ կոնկուրենտ պրայմերների կամ պրայմեր-դիմերների աճից, և շատ հարմար է բարդ ձևանմուշների արդյունավետ ամպլիֆիկացիայի համար: H-Star Taq ԴՆԹ պոլիմերազը օպտիմիզացված է 1 կբ-ից պակաս թիրախային ԴՆԹ-ն ամպլիֆիկացնելու համար, և այն կարող է լրացվել ցիկլը 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մեծացնելով:</w:t>
            </w:r>
          </w:p>
          <w:p w14:paraId="733F082E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</w:t>
            </w:r>
          </w:p>
          <w:p w14:paraId="5429B203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Աղբյուր՝ Thermus aquaticus</w:t>
            </w:r>
          </w:p>
          <w:p w14:paraId="5E9F0D1B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5' </w:t>
            </w:r>
            <w:r w:rsidRPr="000F6FB5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3'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՝ Այո</w:t>
            </w:r>
          </w:p>
          <w:p w14:paraId="16C6B3DB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3' </w:t>
            </w:r>
            <w:r w:rsidRPr="000F6FB5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5'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0F6FB5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</w:t>
            </w: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՝ ոչ</w:t>
            </w:r>
          </w:p>
          <w:p w14:paraId="5FEE9360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Ամպլիֆիկացիայի չափը՝ &lt; 1 կբ PCR</w:t>
            </w:r>
          </w:p>
          <w:p w14:paraId="5E98BA44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Տաք մեկնարկի ակտիվություն՝ այո</w:t>
            </w:r>
          </w:p>
          <w:p w14:paraId="242EAE3A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A-tailing. Այո</w:t>
            </w:r>
          </w:p>
          <w:p w14:paraId="2DDEB3A6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Սխալների մակարդակը՝ 12 - 13 bp սխալ / 106 bp</w:t>
            </w:r>
          </w:p>
          <w:p w14:paraId="539EB335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Կիրառություն:</w:t>
            </w:r>
          </w:p>
          <w:p w14:paraId="0A4DD22C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Hot start PCR </w:t>
            </w:r>
          </w:p>
          <w:p w14:paraId="66849442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TA cloning</w:t>
            </w:r>
          </w:p>
          <w:p w14:paraId="0738A39D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Բարձր սպեցիֆիկ ՊՇՌ </w:t>
            </w:r>
          </w:p>
          <w:p w14:paraId="22E96646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Իրական ժամանակի ՊՇՌ</w:t>
            </w:r>
          </w:p>
          <w:p w14:paraId="6F0553A8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Multiplex PCR </w:t>
            </w:r>
          </w:p>
          <w:p w14:paraId="3A675821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Ալելային հատուկ PCR</w:t>
            </w:r>
          </w:p>
          <w:p w14:paraId="29ACCCD2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Բարձր G+C հարուստ / Repeat region PCR</w:t>
            </w:r>
          </w:p>
          <w:p w14:paraId="653A5E2B" w14:textId="77777777" w:rsidR="006B2CFC" w:rsidRPr="000F6FB5" w:rsidRDefault="006B2CFC" w:rsidP="006B2CFC">
            <w:pPr>
              <w:ind w:left="0" w:firstLine="0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Գենոտիպավորում </w:t>
            </w:r>
          </w:p>
          <w:p w14:paraId="0DC45132" w14:textId="0B3B7536" w:rsidR="006B2CFC" w:rsidRPr="00DF68B6" w:rsidRDefault="006B2CFC" w:rsidP="006B2CF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0F6FB5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Հարմար է UDG համակարգի համար</w:t>
            </w:r>
          </w:p>
        </w:tc>
      </w:tr>
      <w:tr w:rsidR="006B2CFC" w:rsidRPr="009D2222" w14:paraId="4597EEA5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1D787959" w14:textId="72CC5857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lastRenderedPageBreak/>
              <w:t>7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D4198F" w14:textId="62446583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ԴՆԹ անջատման կիտ քիագեն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54EB4" w14:textId="5F9DC225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091B5E" w14:textId="48A44FC4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6BC608" w14:textId="080A9556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98F56E" w14:textId="3C080D6E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C2C3D" w14:textId="27B35823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240000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1B7BD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Qiagen մակնիշի DNeasy Blood &amp; Tissue Kit, ID 69504 մոդել կամ համարժեք՝ ZYMO Quick-DNA Miniprep Plus Kit</w:t>
            </w:r>
          </w:p>
          <w:p w14:paraId="0B3288C8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Պարունակում է մինի սփին-թյուբեր DNeasy, պրոտեինակ K, բուֆերներ, հավաքի համար փորձանոթներ (2մլ)</w:t>
            </w:r>
          </w:p>
          <w:p w14:paraId="2CB62033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Տարբեր փորձանմուշների համար ստանդարտացված մեթոդ</w:t>
            </w:r>
          </w:p>
          <w:p w14:paraId="61FE1032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Բարձրորակ ԴՆԹ</w:t>
            </w:r>
          </w:p>
          <w:p w14:paraId="6AC02A49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Օպտիմիզացված պրոտոկոլներ մի շարք ելանյութերի համար</w:t>
            </w:r>
          </w:p>
          <w:p w14:paraId="69232C0D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Կիրառումը՝ ՊՇՌ, իրական ժամանակում ՊՇՌ, գենոտիպավորում</w:t>
            </w:r>
          </w:p>
          <w:p w14:paraId="055DE065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Էլյուտատի ծավալը՝ 100-200մկլ</w:t>
            </w:r>
          </w:p>
          <w:p w14:paraId="7D7624DB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Պատրաստման և իրացման ժամանակը՝ 20ր-1ժ</w:t>
            </w:r>
          </w:p>
          <w:p w14:paraId="3870DF2B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Հիմնական 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նմուշի տիպը՝ արյուն, հյուսվածք</w:t>
            </w:r>
          </w:p>
          <w:p w14:paraId="5D2E46F7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Ֆորմատը՝ 96-տեղանոց պլանշետ, սփին-թյուբ</w:t>
            </w:r>
          </w:p>
          <w:p w14:paraId="53656379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Նմուշի ծավալը՝ մոտ 100մկլ/25մկգ</w:t>
            </w:r>
          </w:p>
          <w:p w14:paraId="73A5E874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Մշակման համար ուղեցույց</w:t>
            </w:r>
          </w:p>
          <w:p w14:paraId="3ED39FA1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Արտադրողականություն՝ 6մկգ/30մկգ</w:t>
            </w:r>
          </w:p>
          <w:p w14:paraId="420A119A" w14:textId="579FB622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Silica տեխնոլոգիա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3058E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 xml:space="preserve">Qiagen մակնիշի DNeasy Blood &amp; Tissue Kit, ID 69504 </w:t>
            </w:r>
          </w:p>
          <w:p w14:paraId="323905FB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Պարունակում է մինի սփին-թյուբեր DNeasy, պրոտեինակ K, բուֆերներ, հավաքի համար փորձանոթներ (2մլ)</w:t>
            </w:r>
          </w:p>
          <w:p w14:paraId="50A74F84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Տարբեր փորձանմուշների համար ստանդարտացված մեթոդ</w:t>
            </w:r>
          </w:p>
          <w:p w14:paraId="3DA252EB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Բարձրորակ ԴՆԹ</w:t>
            </w:r>
          </w:p>
          <w:p w14:paraId="1753E4A7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Օպտիմիզացված պրոտոկոլներ մի շարք ելանյութերի համար</w:t>
            </w:r>
          </w:p>
          <w:p w14:paraId="0877A7FF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Կիրառումը՝ ՊՇՌ, իրական ժամանակում ՊՇՌ, գենոտիպավորում</w:t>
            </w:r>
          </w:p>
          <w:p w14:paraId="7174A67E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Էլյուտատի ծավալը՝ 100-200մկլ</w:t>
            </w:r>
          </w:p>
          <w:p w14:paraId="23242D35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Պատրաստման և իրացման ժամանակը՝ 20ր-1ժ</w:t>
            </w:r>
          </w:p>
          <w:p w14:paraId="3DE7006D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Հիմնական նմուշի տիպը՝ արյուն, հյուսվածք</w:t>
            </w:r>
          </w:p>
          <w:p w14:paraId="62083BF3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Ֆորմատը՝ 96-տեղանոց պլանշետ, սփին-թյուբ</w:t>
            </w:r>
          </w:p>
          <w:p w14:paraId="70F0B7C2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Նմուշի ծավալը՝ մոտ 100մկլ/25մկգ</w:t>
            </w:r>
          </w:p>
          <w:p w14:paraId="5DC68F8D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Մշակման համար ուղեցույց</w:t>
            </w:r>
          </w:p>
          <w:p w14:paraId="257DFAA7" w14:textId="77777777" w:rsidR="006B2CFC" w:rsidRPr="00F42031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90" w:hanging="90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Արտադրողականություն՝ 6մկգ/30մկգ</w:t>
            </w:r>
          </w:p>
          <w:p w14:paraId="17522667" w14:textId="6D0597C1" w:rsidR="006B2CFC" w:rsidRPr="00DF68B6" w:rsidRDefault="006B2CFC" w:rsidP="006B2CFC">
            <w:pPr>
              <w:spacing w:before="0" w:after="0"/>
              <w:ind w:left="90" w:hanging="9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F42031">
              <w:rPr>
                <w:rFonts w:ascii="GHEA Grapalat" w:hAnsi="GHEA Grapalat" w:cs="Arial"/>
                <w:sz w:val="16"/>
                <w:szCs w:val="16"/>
                <w:lang w:val="hy-AM"/>
              </w:rPr>
              <w:t>Silica տեխնոլոգիա</w:t>
            </w:r>
          </w:p>
        </w:tc>
      </w:tr>
      <w:tr w:rsidR="006B2CFC" w:rsidRPr="009D2222" w14:paraId="0AB676A9" w14:textId="77777777" w:rsidTr="009327F6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70AB16BE" w14:textId="7962E84E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lastRenderedPageBreak/>
              <w:t>8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9458F4" w14:textId="4A28415B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ՊՇՌ հավաքածու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257210" w14:textId="786DB5B3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95BF88" w14:textId="1217E419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8DF"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E19794" w14:textId="163D8AA5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8DF"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80D412" w14:textId="7E76CBBC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277500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47F12" w14:textId="538CF91B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277500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1B1D9B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Qiagen մակնիշի Taq DNA Polymerase կամ համարժեք՝ CORET PCR Core kit with Taq DNA polymerase</w:t>
            </w:r>
          </w:p>
          <w:p w14:paraId="1C4B8253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Պարունակում է Taq ԴՆԹ պոլիմերազ, 10-պատիկ ՊՇՌ բուֆեր CoralLoad, 5-պատիկ Q լուծույթ, 25մՄ MgCl2 կամ համարժեք նյութեր</w:t>
            </w:r>
          </w:p>
          <w:p w14:paraId="17D37AC7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Կոնցենտրացիա՝ 5միավոր/մկլ</w:t>
            </w:r>
          </w:p>
          <w:p w14:paraId="2719E8DB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Ռեկոմբինանտ ֆերմենտ՝ առկա է</w:t>
            </w:r>
          </w:p>
          <w:p w14:paraId="2806D4C1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Սուբստրատի անալոգներ՝ dNTP, ddNTP, dUTP, բիոտին-11-dUTP, DIG-11-dUTP, ֆլուորեսցենտ-dNTP/ddNTP</w:t>
            </w:r>
          </w:p>
          <w:p w14:paraId="291CB69F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Կիսատրոհման ժամանակահատված՝ 10ր 97°C -ում; 60ր 72°C –ում</w:t>
            </w:r>
          </w:p>
          <w:p w14:paraId="4D96C8AE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Ուժգնացման էֆեկտիվություն՝ ≥105 անգամ</w:t>
            </w:r>
          </w:p>
          <w:p w14:paraId="2C9D89AA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5'–&gt;3' էկզոնուկլեազային ակտիվություն՝ առկա է</w:t>
            </w:r>
          </w:p>
          <w:p w14:paraId="32B6F90E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Լրացուցիչ A հավելում՝ առկա է</w:t>
            </w:r>
          </w:p>
          <w:p w14:paraId="307D4DB4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3'–&gt;5 էկզոնուկլեազային ակտիվություն՝ բացակայում է</w:t>
            </w:r>
          </w:p>
          <w:p w14:paraId="521AAE08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Կոնտամինացնող նուկլեազներ՝ բացակայում է</w:t>
            </w:r>
          </w:p>
          <w:p w14:paraId="64935939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Ախտոտող ՌՆԹազներ՝ բացակայում է</w:t>
            </w:r>
          </w:p>
          <w:p w14:paraId="03D2C444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Ախտոտող պրոտեազներ՝ բացակայում է</w:t>
            </w:r>
          </w:p>
          <w:p w14:paraId="47C00F0A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Կիրառումը՝ 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ՊՇՌ, իրական ժամանակում ՊՇՌ, ՊՇՌ հիմքով ԴՆԹ ֆինգրփրինթինգ</w:t>
            </w:r>
          </w:p>
          <w:p w14:paraId="2E0DBE29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Պահպանման ջերմաստիճան՝ -20°C (7 օր ստաբիլ է</w:t>
            </w:r>
          </w:p>
          <w:p w14:paraId="60450854" w14:textId="77777777" w:rsidR="006B2CFC" w:rsidRPr="006B2CFC" w:rsidRDefault="006B2CFC" w:rsidP="006B2CFC">
            <w:pPr>
              <w:pStyle w:val="ListParagraph"/>
              <w:numPr>
                <w:ilvl w:val="0"/>
                <w:numId w:val="3"/>
              </w:numPr>
              <w:spacing w:before="0" w:after="0"/>
              <w:ind w:left="7" w:hanging="7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25°C-ում)</w:t>
            </w:r>
          </w:p>
          <w:p w14:paraId="549BA8C9" w14:textId="535D6BC3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/>
              </w:rPr>
              <w:t>Պահպանման ժամկետ – 2տարի 3 ամիս՝ -20°C-ում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CE65D3" w14:textId="77777777" w:rsidR="006B2CFC" w:rsidRDefault="006B2CFC" w:rsidP="006B2CF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CORET</w:t>
            </w:r>
          </w:p>
          <w:p w14:paraId="54253B79" w14:textId="77777777" w:rsidR="006B2CFC" w:rsidRDefault="006B2CFC" w:rsidP="006B2CF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703A1A">
              <w:rPr>
                <w:rFonts w:ascii="GHEA Grapalat" w:hAnsi="GHEA Grapalat"/>
                <w:sz w:val="16"/>
                <w:szCs w:val="16"/>
              </w:rPr>
              <w:t xml:space="preserve">PCR Core kit with </w:t>
            </w:r>
            <w:proofErr w:type="spellStart"/>
            <w:r w:rsidRPr="00703A1A">
              <w:rPr>
                <w:rFonts w:ascii="GHEA Grapalat" w:hAnsi="GHEA Grapalat"/>
                <w:sz w:val="16"/>
                <w:szCs w:val="16"/>
              </w:rPr>
              <w:t>Taq</w:t>
            </w:r>
            <w:proofErr w:type="spellEnd"/>
            <w:r w:rsidRPr="00703A1A">
              <w:rPr>
                <w:rFonts w:ascii="GHEA Grapalat" w:hAnsi="GHEA Grapalat"/>
                <w:sz w:val="16"/>
                <w:szCs w:val="16"/>
              </w:rPr>
              <w:t xml:space="preserve"> DNA polymerase</w:t>
            </w:r>
          </w:p>
          <w:p w14:paraId="72A6F94A" w14:textId="77777777" w:rsidR="006B2CFC" w:rsidRPr="00DF68B6" w:rsidRDefault="006B2CFC" w:rsidP="006B2CFC">
            <w:pPr>
              <w:spacing w:before="0" w:after="0"/>
              <w:ind w:left="0" w:firstLine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</w:tr>
      <w:tr w:rsidR="006B2CFC" w:rsidRPr="009D2222" w14:paraId="6A897468" w14:textId="77777777" w:rsidTr="006B2CFC">
        <w:trPr>
          <w:trHeight w:val="40"/>
          <w:jc w:val="center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0A67F719" w14:textId="064C98C9" w:rsidR="006B2CFC" w:rsidRPr="00A82E89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GHEA Grapalat"/>
                <w:sz w:val="14"/>
                <w:szCs w:val="14"/>
                <w:lang w:val="hy-AM"/>
              </w:rPr>
              <w:lastRenderedPageBreak/>
              <w:t>9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F3F77" w14:textId="537AD677" w:rsidR="006B2CFC" w:rsidRPr="009D2222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GHEA Grapalat"/>
                <w:sz w:val="14"/>
                <w:szCs w:val="14"/>
                <w:lang w:val="hy-AM"/>
              </w:rPr>
            </w:pPr>
            <w:r w:rsidRPr="009D2222">
              <w:rPr>
                <w:rFonts w:ascii="GHEA Grapalat" w:hAnsi="GHEA Grapalat" w:cs="GHEA Grapalat"/>
                <w:sz w:val="14"/>
                <w:szCs w:val="14"/>
                <w:lang w:val="hy-AM"/>
              </w:rPr>
              <w:t>PBS բուֆեր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B299B7" w14:textId="78A6788F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FC104" w14:textId="53B09E0B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8DF"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CB7DB" w14:textId="62C31A46" w:rsidR="006B2CFC" w:rsidRPr="00A82E89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58DF">
              <w:rPr>
                <w:rFonts w:ascii="GHEA Grapalat" w:hAnsi="GHEA Grapalat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61AB5" w14:textId="4C4E3BF8" w:rsidR="006B2CFC" w:rsidRPr="00FB51D6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152700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B7CE8" w14:textId="633BBEE6" w:rsidR="006B2CFC" w:rsidRPr="00BB1DB5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152700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BEB3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LyoFACT™ PCR Pre-Mix-ը լիոֆիլիզացված խառնուրդը նախագծված է հեշտ պահեստավորման համար: Պատրաստի օգտագործման ձևաչափը կարող է պահվել սենյակային ջերմաստիճանում՝ երկարաժամկետ պահպանելով կառուցվածքային և քիմիական բաղադրությունը: Այն ամբողջությամբ վերականգնվում է ջրի ավելացումից հետո (վերահիդրացիա):</w:t>
            </w:r>
          </w:p>
          <w:p w14:paraId="787C3D00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Նկարագրություն՝</w:t>
            </w:r>
          </w:p>
          <w:p w14:paraId="513D31E5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Աղբյուր՝ Thermus aquaticus</w:t>
            </w:r>
          </w:p>
          <w:p w14:paraId="33AFF2A3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5' </w:t>
            </w:r>
            <w:r w:rsidRPr="006B2CFC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3'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ակտիվություն՝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Այո</w:t>
            </w:r>
          </w:p>
          <w:p w14:paraId="7FFC25E3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• 3' </w:t>
            </w:r>
            <w:r w:rsidRPr="006B2CFC">
              <w:rPr>
                <w:rFonts w:ascii="Courier New" w:hAnsi="Courier New" w:cs="Courier New"/>
                <w:sz w:val="16"/>
                <w:szCs w:val="16"/>
                <w:lang w:val="hy-AM" w:eastAsia="ru-RU"/>
              </w:rPr>
              <w:t>→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5'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էկզոնուկլեազային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ակտիվություն՝</w:t>
            </w: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6B2CFC">
              <w:rPr>
                <w:rFonts w:ascii="GHEA Grapalat" w:hAnsi="GHEA Grapalat" w:cs="GHEA Grapalat"/>
                <w:sz w:val="16"/>
                <w:szCs w:val="16"/>
                <w:lang w:val="hy-AM" w:eastAsia="ru-RU"/>
              </w:rPr>
              <w:t>ոչ</w:t>
            </w:r>
          </w:p>
          <w:p w14:paraId="07466B0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Ամպլիֆիկացիայի չափը՝ Taq &lt; 5kb, Multi-Star &lt;1kb</w:t>
            </w:r>
          </w:p>
          <w:p w14:paraId="3384C53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Թեժ մեկնարկի գործունեություն. Taq (Ոչ), MultiStar (Այո (քիմիական միջնորդությամբ))</w:t>
            </w:r>
          </w:p>
          <w:p w14:paraId="078F5289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12-13 bp սխալ / 106 bp</w:t>
            </w:r>
          </w:p>
          <w:p w14:paraId="205E0D0A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A-tailing. Այո</w:t>
            </w:r>
          </w:p>
          <w:p w14:paraId="5327061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Մեկից ավելի թիրախի ուժեղացում մեկ ռեակցիայում (Multistar)</w:t>
            </w:r>
          </w:p>
          <w:p w14:paraId="1B2232F8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 xml:space="preserve"> Կիրառություն</w:t>
            </w:r>
          </w:p>
          <w:p w14:paraId="0A0A22EC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&lt;Taq&gt;</w:t>
            </w:r>
          </w:p>
          <w:p w14:paraId="41EA6E82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սովորական ՊՇՌ • ՊՇՌ սքրինինգ • ՏԱ կլոնավորում • Գաղութի ՊՇՌ</w:t>
            </w:r>
          </w:p>
          <w:p w14:paraId="599E4299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&lt;Multistar&gt;</w:t>
            </w:r>
          </w:p>
          <w:p w14:paraId="276DCB77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Multiplex PCR (~ 13 ժապավեն զուգահեռաբար)</w:t>
            </w:r>
          </w:p>
          <w:p w14:paraId="3A234C94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Ալելային հատուկ PCR (~ 21 ժապավեն զուգահեռաբար)</w:t>
            </w:r>
          </w:p>
          <w:p w14:paraId="773D9404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lastRenderedPageBreak/>
              <w:t>• Մեթիլացման հատուկ PCR • SNP հայտնաբերում</w:t>
            </w:r>
          </w:p>
          <w:p w14:paraId="10645DE2" w14:textId="77777777" w:rsidR="006B2CFC" w:rsidRPr="006B2CFC" w:rsidRDefault="006B2CFC" w:rsidP="006B2CFC">
            <w:pPr>
              <w:ind w:left="7" w:hanging="7"/>
              <w:contextualSpacing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Ընդհանուր հաջորդականություն • ՏԱ կլոնավորում</w:t>
            </w:r>
          </w:p>
          <w:p w14:paraId="6C337A04" w14:textId="75726776" w:rsidR="006B2CFC" w:rsidRPr="006B2CFC" w:rsidRDefault="006B2CFC" w:rsidP="006B2CFC">
            <w:pPr>
              <w:tabs>
                <w:tab w:val="left" w:pos="1248"/>
              </w:tabs>
              <w:spacing w:before="0" w:after="0"/>
              <w:ind w:left="7" w:hanging="7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6B2CFC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• SSR / MS • UDG համակարգ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DCCBF7" w14:textId="33677968" w:rsidR="006B2CFC" w:rsidRPr="00DF68B6" w:rsidRDefault="006B2CFC" w:rsidP="006B2CFC">
            <w:pPr>
              <w:spacing w:before="0" w:after="0"/>
              <w:ind w:left="90" w:hanging="9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>
              <w:rPr>
                <w:rFonts w:ascii="GHEA Grapalat" w:eastAsia="Sylfaen" w:hAnsi="GHEA Grapalat"/>
                <w:sz w:val="16"/>
                <w:szCs w:val="16"/>
              </w:rPr>
              <w:lastRenderedPageBreak/>
              <w:t xml:space="preserve">PBS, 20X liquid concentrate, prepares 20 l of 1X buffer, Ultra </w:t>
            </w:r>
            <w:proofErr w:type="spellStart"/>
            <w:r>
              <w:rPr>
                <w:rFonts w:ascii="GHEA Grapalat" w:eastAsia="Sylfaen" w:hAnsi="GHEA Grapalat"/>
                <w:sz w:val="16"/>
                <w:szCs w:val="16"/>
              </w:rPr>
              <w:t>Pura</w:t>
            </w:r>
            <w:proofErr w:type="spellEnd"/>
            <w:r>
              <w:rPr>
                <w:rFonts w:ascii="GHEA Grapalat" w:eastAsia="Sylfaen" w:hAnsi="GHEA Grapalat"/>
                <w:sz w:val="16"/>
                <w:szCs w:val="16"/>
              </w:rPr>
              <w:t xml:space="preserve"> Grade</w:t>
            </w:r>
          </w:p>
        </w:tc>
      </w:tr>
      <w:tr w:rsidR="006B2CFC" w:rsidRPr="009D2222" w14:paraId="4B8BC031" w14:textId="77777777" w:rsidTr="00BB1DB5">
        <w:trPr>
          <w:trHeight w:val="169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6B2CFC" w:rsidRPr="004D4FCA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9D2222" w14:paraId="24C3B0CB" w14:textId="77777777" w:rsidTr="00BB1DB5">
        <w:trPr>
          <w:trHeight w:val="137"/>
          <w:jc w:val="center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6B2CFC" w:rsidRPr="004D4FCA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4D4F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4D4FCA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7777777" w:rsidR="006B2CFC" w:rsidRPr="004D4FCA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9D2222" w14:paraId="075EEA57" w14:textId="77777777" w:rsidTr="00BB1DB5">
        <w:trPr>
          <w:trHeight w:val="196"/>
          <w:jc w:val="center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6B2CFC" w:rsidRPr="004D4FCA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22631D" w14:paraId="681596E8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D4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4D4FC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4F741A09" w:rsidR="006B2CFC" w:rsidRPr="00BB1DB5" w:rsidRDefault="00F06373" w:rsidP="00F063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29</w:t>
            </w:r>
            <w:r w:rsidR="006B2CF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6B2C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 w:rsidR="006B2CFC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="006B2CF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</w:t>
            </w:r>
          </w:p>
        </w:tc>
      </w:tr>
      <w:tr w:rsidR="006B2CFC" w:rsidRPr="0022631D" w14:paraId="199F948A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6EE9B008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13FE412E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B2CFC" w:rsidRPr="0022631D" w14:paraId="321D26CF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68E691E2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30B89418" w14:textId="77777777" w:rsidTr="00BB1DB5">
        <w:trPr>
          <w:trHeight w:val="54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10DC4861" w14:textId="77777777" w:rsidTr="00BB1DB5">
        <w:trPr>
          <w:trHeight w:val="605"/>
          <w:jc w:val="center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B2CFC" w:rsidRPr="0022631D" w14:paraId="3FD00E3A" w14:textId="77777777" w:rsidTr="00BB1DB5">
        <w:trPr>
          <w:trHeight w:val="365"/>
          <w:jc w:val="center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B2CFC" w:rsidRPr="0022631D" w14:paraId="198D29C9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421A728" w14:textId="50ED80A9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0A166E2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B2CFC" w:rsidRPr="0022631D" w14:paraId="7AC48C7F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F6EE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BDAD57" w14:textId="43BA409D" w:rsidR="006B2CFC" w:rsidRPr="00D1279C" w:rsidRDefault="00F06373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  <w:lang w:val="hy-AM"/>
              </w:rPr>
              <w:t>«Կոնցեռն-Էներգոմաշ» ՓԲԸ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AFC943" w14:textId="5F4764F1" w:rsidR="006B2CFC" w:rsidRPr="00325CE4" w:rsidRDefault="00F06373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200000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C8BCF9" w14:textId="26CB5DF4" w:rsidR="006B2CFC" w:rsidRPr="006F0531" w:rsidRDefault="00F06373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40000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667AF" w14:textId="18C67473" w:rsidR="006B2CFC" w:rsidRPr="00325CE4" w:rsidRDefault="00F06373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240000</w:t>
            </w:r>
          </w:p>
        </w:tc>
      </w:tr>
      <w:tr w:rsidR="00F06373" w:rsidRPr="0022631D" w14:paraId="7EDD6FA5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E164939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8040FC2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06373" w:rsidRPr="0022631D" w14:paraId="2A337C7B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11BE8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85CA2" w14:textId="77777777" w:rsidR="00F06373" w:rsidRPr="00F06373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</w:t>
            </w:r>
            <w:proofErr w:type="spellStart"/>
            <w:r w:rsidRPr="00F06373">
              <w:rPr>
                <w:rFonts w:ascii="GHEA Grapalat" w:hAnsi="GHEA Grapalat" w:cs="Sylfaen"/>
                <w:sz w:val="16"/>
                <w:szCs w:val="16"/>
              </w:rPr>
              <w:t>Օրգանիքս</w:t>
            </w:r>
            <w:proofErr w:type="spellEnd"/>
            <w:r w:rsidRPr="00F06373">
              <w:rPr>
                <w:rFonts w:ascii="GHEA Grapalat" w:hAnsi="GHEA Grapalat" w:cs="Sylfaen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B6AC62" w14:textId="77777777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291250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01D6C" w14:textId="77777777" w:rsidR="00F06373" w:rsidRPr="006F0531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58250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56869" w14:textId="77777777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349500</w:t>
            </w:r>
          </w:p>
        </w:tc>
      </w:tr>
      <w:tr w:rsidR="00F06373" w:rsidRPr="0022631D" w14:paraId="4FA2740C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43B4996" w14:textId="359E94E1" w:rsidR="00F06373" w:rsidRPr="00F06373" w:rsidRDefault="00F06373" w:rsidP="00F0637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4182BD3C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06373" w:rsidRPr="0022631D" w14:paraId="6E46EE36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AD49E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CB663A" w14:textId="77777777" w:rsidR="00F06373" w:rsidRPr="00F06373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</w:t>
            </w:r>
            <w:proofErr w:type="spellStart"/>
            <w:r w:rsidRPr="00F06373">
              <w:rPr>
                <w:rFonts w:ascii="GHEA Grapalat" w:hAnsi="GHEA Grapalat" w:cs="Sylfaen"/>
                <w:sz w:val="16"/>
                <w:szCs w:val="16"/>
              </w:rPr>
              <w:t>Օրգանիքս</w:t>
            </w:r>
            <w:proofErr w:type="spellEnd"/>
            <w:r w:rsidRPr="00F06373">
              <w:rPr>
                <w:rFonts w:ascii="GHEA Grapalat" w:hAnsi="GHEA Grapalat" w:cs="Sylfaen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1D74B8" w14:textId="5887519C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187500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392C8" w14:textId="31BB0215" w:rsidR="00F06373" w:rsidRPr="006F0531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37500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F2D7A0" w14:textId="1C513B41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225000</w:t>
            </w:r>
          </w:p>
        </w:tc>
      </w:tr>
      <w:tr w:rsidR="00F06373" w:rsidRPr="0022631D" w14:paraId="50DABC65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22D8CB2" w14:textId="196C39F1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187B64E7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06373" w:rsidRPr="0022631D" w14:paraId="3AEAAE87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A5DA8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7F69B" w14:textId="77777777" w:rsidR="00F06373" w:rsidRPr="00F06373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</w:t>
            </w:r>
            <w:proofErr w:type="spellStart"/>
            <w:r w:rsidRPr="00F06373">
              <w:rPr>
                <w:rFonts w:ascii="GHEA Grapalat" w:hAnsi="GHEA Grapalat" w:cs="Sylfaen"/>
                <w:sz w:val="16"/>
                <w:szCs w:val="16"/>
              </w:rPr>
              <w:t>Օրգանիքս</w:t>
            </w:r>
            <w:proofErr w:type="spellEnd"/>
            <w:r w:rsidRPr="00F06373">
              <w:rPr>
                <w:rFonts w:ascii="GHEA Grapalat" w:hAnsi="GHEA Grapalat" w:cs="Sylfaen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C8CD3" w14:textId="17F4BB92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187500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633F6F" w14:textId="15A753B2" w:rsidR="00F06373" w:rsidRPr="006F0531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37500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857BCA" w14:textId="547E334B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225000</w:t>
            </w:r>
          </w:p>
        </w:tc>
      </w:tr>
      <w:tr w:rsidR="00F06373" w:rsidRPr="0022631D" w14:paraId="002AFE3F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66870216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6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467E0E1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06373" w:rsidRPr="0022631D" w14:paraId="7D7F23E7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85696" w14:textId="77777777" w:rsidR="00F06373" w:rsidRPr="0022631D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E659A" w14:textId="77777777" w:rsidR="00F06373" w:rsidRPr="00F06373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</w:t>
            </w:r>
            <w:proofErr w:type="spellStart"/>
            <w:r w:rsidRPr="00F06373">
              <w:rPr>
                <w:rFonts w:ascii="GHEA Grapalat" w:hAnsi="GHEA Grapalat" w:cs="Sylfaen"/>
                <w:sz w:val="16"/>
                <w:szCs w:val="16"/>
              </w:rPr>
              <w:t>Օրգանիքս</w:t>
            </w:r>
            <w:proofErr w:type="spellEnd"/>
            <w:r w:rsidRPr="00F06373">
              <w:rPr>
                <w:rFonts w:ascii="GHEA Grapalat" w:hAnsi="GHEA Grapalat" w:cs="Sylfaen"/>
                <w:sz w:val="16"/>
                <w:szCs w:val="16"/>
              </w:rPr>
              <w:t>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1C9423" w14:textId="77777777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362500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6BCD15" w14:textId="77777777" w:rsidR="00F06373" w:rsidRPr="006F0531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72500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A76FF7" w14:textId="77777777" w:rsidR="00F06373" w:rsidRPr="00D1279C" w:rsidRDefault="00F06373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435000</w:t>
            </w:r>
          </w:p>
        </w:tc>
      </w:tr>
      <w:tr w:rsidR="000768D1" w:rsidRPr="0022631D" w14:paraId="79B3126F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36DF7B50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368A7B90" w14:textId="77777777" w:rsidR="000768D1" w:rsidRPr="0022631D" w:rsidRDefault="000768D1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768D1" w:rsidRPr="0022631D" w14:paraId="154D1257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D72555" w14:textId="77777777" w:rsidR="000768D1" w:rsidRPr="0022631D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C01535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</w:t>
            </w:r>
            <w:proofErr w:type="spellStart"/>
            <w:r w:rsidRPr="00F06373">
              <w:rPr>
                <w:rFonts w:ascii="GHEA Grapalat" w:hAnsi="GHEA Grapalat" w:cs="Sylfaen"/>
                <w:sz w:val="16"/>
                <w:szCs w:val="16"/>
              </w:rPr>
              <w:t>Կոնցեռն-Էներգոմաշ</w:t>
            </w:r>
            <w:proofErr w:type="spellEnd"/>
            <w:r w:rsidRPr="00F06373">
              <w:rPr>
                <w:rFonts w:ascii="GHEA Grapalat" w:hAnsi="GHEA Grapalat" w:cs="Sylfaen"/>
                <w:sz w:val="16"/>
                <w:szCs w:val="16"/>
              </w:rPr>
              <w:t>» ՓԲԸ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FA583D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200000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7E8AA" w14:textId="77777777" w:rsidR="000768D1" w:rsidRPr="006F0531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40000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586B1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240000</w:t>
            </w:r>
          </w:p>
        </w:tc>
      </w:tr>
      <w:tr w:rsidR="000768D1" w:rsidRPr="0022631D" w14:paraId="5114B269" w14:textId="77777777" w:rsidTr="009327F6">
        <w:trPr>
          <w:trHeight w:val="13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54582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086504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«ԹԱԳ ՀԷՄ»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182DAA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C72C1" w14:textId="77777777" w:rsidR="000768D1" w:rsidRPr="006F0531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48000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EB1F18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288000</w:t>
            </w:r>
          </w:p>
        </w:tc>
      </w:tr>
      <w:tr w:rsidR="000768D1" w:rsidRPr="0022631D" w14:paraId="11CFCF26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7FB1AB8E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5E0F7386" w14:textId="77777777" w:rsidR="000768D1" w:rsidRPr="0022631D" w:rsidRDefault="000768D1" w:rsidP="009327F6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768D1" w:rsidRPr="0022631D" w14:paraId="67B5D743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4A94C2" w14:textId="77777777" w:rsidR="000768D1" w:rsidRPr="0022631D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9B9E9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«ԹԱԳ ՀԷՄ»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DD49F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231250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29B5A" w14:textId="77777777" w:rsidR="000768D1" w:rsidRPr="006F0531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46250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E7907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277500</w:t>
            </w:r>
          </w:p>
        </w:tc>
      </w:tr>
      <w:tr w:rsidR="000768D1" w:rsidRPr="0022631D" w14:paraId="01EC089A" w14:textId="77777777" w:rsidTr="009327F6">
        <w:trPr>
          <w:trHeight w:val="13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100E64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04DF21" w14:textId="77777777" w:rsidR="000768D1" w:rsidRPr="00F06373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</w:t>
            </w:r>
            <w:proofErr w:type="spellStart"/>
            <w:r w:rsidRPr="00F06373">
              <w:rPr>
                <w:rFonts w:ascii="GHEA Grapalat" w:hAnsi="GHEA Grapalat" w:cs="Sylfaen"/>
                <w:sz w:val="16"/>
                <w:szCs w:val="16"/>
              </w:rPr>
              <w:t>Կոնցեռն-Էներգոմաշ</w:t>
            </w:r>
            <w:proofErr w:type="spellEnd"/>
            <w:r w:rsidRPr="00F06373">
              <w:rPr>
                <w:rFonts w:ascii="GHEA Grapalat" w:hAnsi="GHEA Grapalat" w:cs="Sylfaen"/>
                <w:sz w:val="16"/>
                <w:szCs w:val="16"/>
              </w:rPr>
              <w:t>» ՓԲԸ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0D5CB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247500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46C0A9" w14:textId="77777777" w:rsidR="000768D1" w:rsidRPr="006F0531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49500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9ED28" w14:textId="77777777" w:rsidR="000768D1" w:rsidRPr="00D1279C" w:rsidRDefault="000768D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297000</w:t>
            </w:r>
          </w:p>
        </w:tc>
      </w:tr>
      <w:tr w:rsidR="006B2CFC" w:rsidRPr="0022631D" w14:paraId="7D9576CE" w14:textId="77777777" w:rsidTr="009327F6">
        <w:trPr>
          <w:trHeight w:val="83"/>
          <w:jc w:val="center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72B5966" w14:textId="18116052" w:rsidR="006B2CFC" w:rsidRPr="00F06373" w:rsidRDefault="00F06373" w:rsidP="000768D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0768D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35118E8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768D1" w:rsidRPr="0022631D" w14:paraId="6C6DC0EA" w14:textId="77777777" w:rsidTr="009327F6">
        <w:trPr>
          <w:trHeight w:val="83"/>
          <w:jc w:val="center"/>
        </w:trPr>
        <w:tc>
          <w:tcPr>
            <w:tcW w:w="138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D4788" w14:textId="77777777" w:rsidR="000768D1" w:rsidRPr="0022631D" w:rsidRDefault="000768D1" w:rsidP="000768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DFADB" w14:textId="1E3A9DB9" w:rsidR="000768D1" w:rsidRPr="00F06373" w:rsidRDefault="000768D1" w:rsidP="000768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F06373">
              <w:rPr>
                <w:rFonts w:ascii="GHEA Grapalat" w:hAnsi="GHEA Grapalat" w:cs="Sylfaen"/>
                <w:sz w:val="16"/>
                <w:szCs w:val="16"/>
              </w:rPr>
              <w:t>«ԹԱԳ ՀԷՄ» ՍՊԸ</w:t>
            </w:r>
          </w:p>
        </w:tc>
        <w:tc>
          <w:tcPr>
            <w:tcW w:w="325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9D8437" w14:textId="16FA72E7" w:rsidR="000768D1" w:rsidRPr="00D1279C" w:rsidRDefault="000768D1" w:rsidP="000768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127250</w:t>
            </w:r>
          </w:p>
        </w:tc>
        <w:tc>
          <w:tcPr>
            <w:tcW w:w="21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E617F6" w14:textId="78C3C96B" w:rsidR="000768D1" w:rsidRPr="006F0531" w:rsidRDefault="000768D1" w:rsidP="000768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25450</w:t>
            </w:r>
          </w:p>
        </w:tc>
        <w:tc>
          <w:tcPr>
            <w:tcW w:w="228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31F415" w14:textId="67BC9BE7" w:rsidR="000768D1" w:rsidRPr="00D1279C" w:rsidRDefault="000768D1" w:rsidP="000768D1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152700</w:t>
            </w:r>
          </w:p>
        </w:tc>
      </w:tr>
      <w:tr w:rsidR="006B2CFC" w:rsidRPr="0022631D" w14:paraId="700CD07F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521126E1" w14:textId="77777777" w:rsidTr="00BB1DB5">
        <w:trPr>
          <w:jc w:val="center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B2CFC" w:rsidRPr="0022631D" w14:paraId="552679BF" w14:textId="77777777" w:rsidTr="00BB1DB5">
        <w:trPr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6B2CFC" w:rsidRPr="0022631D" w14:paraId="3CA6FABC" w14:textId="77777777" w:rsidTr="00BB1DB5">
        <w:trPr>
          <w:jc w:val="center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B2CFC" w:rsidRPr="0022631D" w14:paraId="5E96A1C5" w14:textId="77777777" w:rsidTr="00BB1DB5">
        <w:trPr>
          <w:jc w:val="center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443F73EF" w14:textId="77777777" w:rsidTr="00BB1DB5">
        <w:trPr>
          <w:trHeight w:val="40"/>
          <w:jc w:val="center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522ACAFB" w14:textId="77777777" w:rsidTr="00BB1DB5">
        <w:trPr>
          <w:trHeight w:val="331"/>
          <w:jc w:val="center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6B2CFC" w:rsidRPr="0022631D" w14:paraId="617248CD" w14:textId="77777777" w:rsidTr="00BB1DB5">
        <w:trPr>
          <w:trHeight w:val="289"/>
          <w:jc w:val="center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1515C769" w14:textId="77777777" w:rsidTr="00BB1DB5">
        <w:trPr>
          <w:trHeight w:val="346"/>
          <w:jc w:val="center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56730B9F" w:rsidR="006B2CFC" w:rsidRPr="00BB1DB5" w:rsidRDefault="009327F6" w:rsidP="009327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6B2CFC" w:rsidRPr="005F7DF6">
              <w:rPr>
                <w:rFonts w:ascii="GHEA Grapalat" w:eastAsia="Times New Roman" w:hAnsi="GHEA Grapalat" w:cs="Cambria Math"/>
                <w:b/>
                <w:sz w:val="14"/>
                <w:szCs w:val="14"/>
                <w:lang w:eastAsia="ru-RU"/>
              </w:rPr>
              <w:t>.</w:t>
            </w:r>
            <w:r w:rsidR="006B2CFC"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9</w:t>
            </w:r>
            <w:r w:rsidR="006B2CFC" w:rsidRPr="005F7DF6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="006B2CFC"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6B2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6B2CFC" w:rsidRPr="0022631D" w14:paraId="71BEA872" w14:textId="77777777" w:rsidTr="00BB1DB5">
        <w:trPr>
          <w:trHeight w:val="92"/>
          <w:jc w:val="center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6B2CFC" w:rsidRPr="0022631D" w14:paraId="04C80107" w14:textId="77777777" w:rsidTr="00BB1DB5">
        <w:trPr>
          <w:trHeight w:val="92"/>
          <w:jc w:val="center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6752C6C" w:rsidR="006B2CFC" w:rsidRPr="00BB1DB5" w:rsidRDefault="009327F6" w:rsidP="009327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</w:t>
            </w:r>
            <w:r w:rsidR="006B2CFC" w:rsidRPr="005F7DF6">
              <w:rPr>
                <w:rFonts w:ascii="GHEA Grapalat" w:eastAsia="Times New Roman" w:hAnsi="GHEA Grapalat" w:cs="Cambria Math"/>
                <w:b/>
                <w:sz w:val="14"/>
                <w:szCs w:val="14"/>
                <w:lang w:eastAsia="ru-RU"/>
              </w:rPr>
              <w:t>.</w:t>
            </w:r>
            <w:r w:rsidR="006B2CFC"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9</w:t>
            </w:r>
            <w:r w:rsidR="006B2CFC" w:rsidRPr="005F7DF6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="006B2CFC"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6B2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BB0FFB5" w:rsidR="006B2CFC" w:rsidRPr="00BB1DB5" w:rsidRDefault="009327F6" w:rsidP="009327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  <w:r w:rsidR="006B2CFC" w:rsidRPr="005F7DF6">
              <w:rPr>
                <w:rFonts w:ascii="GHEA Grapalat" w:eastAsia="Times New Roman" w:hAnsi="GHEA Grapalat" w:cs="Cambria Math"/>
                <w:b/>
                <w:sz w:val="14"/>
                <w:szCs w:val="14"/>
                <w:lang w:eastAsia="ru-RU"/>
              </w:rPr>
              <w:t>.</w:t>
            </w:r>
            <w:r w:rsidR="006B2CFC"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9</w:t>
            </w:r>
            <w:r w:rsidR="006B2CFC" w:rsidRPr="005F7DF6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="006B2CFC"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 w:rsidR="006B2CF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6B2CFC" w:rsidRPr="0022631D" w14:paraId="2254FA5C" w14:textId="77777777" w:rsidTr="00BB1DB5">
        <w:trPr>
          <w:trHeight w:val="344"/>
          <w:jc w:val="center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0FC7E560" w:rsidR="006B2CFC" w:rsidRPr="0022631D" w:rsidRDefault="006B2CFC" w:rsidP="009327F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Pr="005F7DF6">
              <w:rPr>
                <w:rFonts w:ascii="GHEA Grapalat" w:eastAsia="Times New Roman" w:hAnsi="GHEA Grapalat" w:cs="Cambria Math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0</w:t>
            </w:r>
            <w:r w:rsidR="009327F6"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9</w:t>
            </w:r>
            <w:r w:rsidRPr="005F7DF6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</w:tr>
      <w:tr w:rsidR="006B2CFC" w:rsidRPr="0022631D" w14:paraId="3C75DA26" w14:textId="77777777" w:rsidTr="00BB1DB5">
        <w:trPr>
          <w:trHeight w:val="344"/>
          <w:jc w:val="center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5B357FE2" w:rsidR="006B2CFC" w:rsidRPr="00AC2A48" w:rsidRDefault="009327F6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AC2A48">
              <w:rPr>
                <w:rFonts w:ascii="GHEA Grapalat" w:eastAsia="Times New Roman" w:hAnsi="GHEA Grapalat" w:cs="Cambria Math"/>
                <w:b/>
                <w:sz w:val="14"/>
                <w:szCs w:val="14"/>
                <w:lang w:eastAsia="ru-RU"/>
              </w:rPr>
              <w:t>.</w:t>
            </w:r>
            <w:r w:rsidRPr="00AC2A48"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09</w:t>
            </w:r>
            <w:r w:rsidRPr="00AC2A48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</w:tr>
      <w:tr w:rsidR="006B2CFC" w:rsidRPr="0022631D" w14:paraId="0682C6BE" w14:textId="77777777" w:rsidTr="00BB1DB5">
        <w:trPr>
          <w:trHeight w:val="344"/>
          <w:jc w:val="center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492249AF" w:rsidR="006B2CFC" w:rsidRPr="00AC2A48" w:rsidRDefault="009327F6" w:rsidP="006B2CF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AC2A48">
              <w:rPr>
                <w:rFonts w:ascii="GHEA Grapalat" w:eastAsia="Times New Roman" w:hAnsi="GHEA Grapalat" w:cs="Cambria Math"/>
                <w:b/>
                <w:sz w:val="14"/>
                <w:szCs w:val="14"/>
                <w:lang w:eastAsia="ru-RU"/>
              </w:rPr>
              <w:t>.</w:t>
            </w:r>
            <w:r w:rsidRPr="00AC2A48">
              <w:rPr>
                <w:rFonts w:ascii="GHEA Grapalat" w:eastAsia="Times New Roman" w:hAnsi="GHEA Grapalat" w:cs="Cambria Math"/>
                <w:b/>
                <w:sz w:val="14"/>
                <w:szCs w:val="14"/>
                <w:lang w:val="hy-AM" w:eastAsia="ru-RU"/>
              </w:rPr>
              <w:t>09</w:t>
            </w:r>
            <w:r w:rsidRPr="00AC2A48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</w:tr>
      <w:tr w:rsidR="006B2CFC" w:rsidRPr="0022631D" w14:paraId="79A64497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530F09C6" w:rsidR="006B2CFC" w:rsidRPr="00BB1DB5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22631D" w14:paraId="4E4EA255" w14:textId="77777777" w:rsidTr="00BB1DB5">
        <w:trPr>
          <w:jc w:val="center"/>
        </w:trPr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6B2CFC" w:rsidRPr="0022631D" w14:paraId="11F19FA1" w14:textId="77777777" w:rsidTr="00BB1DB5">
        <w:trPr>
          <w:trHeight w:val="237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2856C5C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6B2CFC" w:rsidRPr="0022631D" w14:paraId="4DC53241" w14:textId="77777777" w:rsidTr="00BB1DB5">
        <w:trPr>
          <w:trHeight w:val="238"/>
          <w:jc w:val="center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14:paraId="078A8417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6B2CFC" w:rsidRPr="0022631D" w14:paraId="75FDA7D8" w14:textId="77777777" w:rsidTr="00BB1DB5">
        <w:trPr>
          <w:trHeight w:val="263"/>
          <w:jc w:val="center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327F6" w:rsidRPr="0022631D" w14:paraId="6FD2FA68" w14:textId="77777777" w:rsidTr="009327F6">
        <w:trPr>
          <w:trHeight w:val="146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5E3AFC37" w14:textId="77777777" w:rsidR="009327F6" w:rsidRPr="00095497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1, 7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7EABC66" w14:textId="0446BB6F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«Կոնցեռն-Էներգոմաշ» ՓԲԸ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34A568B" w14:textId="77777777" w:rsidR="009327F6" w:rsidRPr="00BB1DB5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ԿՀԳԿ-ԳՀԱՊՁԲ-2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75E6E2E4" w14:textId="77777777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ED73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ED7321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ED73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ED7321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ED732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59B4136" w14:textId="43F0E366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Pr="009327F6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0217C2D" w14:textId="77777777" w:rsidR="009327F6" w:rsidRPr="0022631D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չէ</w:t>
            </w:r>
            <w:proofErr w:type="spellEnd"/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FA58FBB" w14:textId="7D11F357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480000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D87DA6A" w14:textId="25C6AC39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480000</w:t>
            </w:r>
          </w:p>
        </w:tc>
      </w:tr>
      <w:tr w:rsidR="009327F6" w:rsidRPr="0022631D" w14:paraId="0090D5A2" w14:textId="77777777" w:rsidTr="009327F6">
        <w:trPr>
          <w:trHeight w:val="146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0BDD6930" w14:textId="4DA26FFE" w:rsidR="009327F6" w:rsidRPr="00095497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3, 4, 5, 6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4818FE39" w14:textId="5B8EC3A0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«Օրգանիքս»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01DDBBDC" w14:textId="1E4E6B3A" w:rsidR="009327F6" w:rsidRPr="00BB1DB5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ԿՀԳԿ-ԳՀԱՊՁԲ-2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327C90A8" w14:textId="77777777" w:rsidR="009327F6" w:rsidRPr="00D034A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D034AC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D034AC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FC65D8A" w14:textId="4EAFB680" w:rsidR="009327F6" w:rsidRPr="00D034AC" w:rsidRDefault="009327F6" w:rsidP="003252F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3252F8"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D034AC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D034A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27FF662E" w14:textId="77777777" w:rsidR="009327F6" w:rsidRPr="0022631D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չէ</w:t>
            </w:r>
            <w:proofErr w:type="spellEnd"/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BFFADAF" w14:textId="3CA6C83A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1234500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6AB6C42D" w14:textId="6EE4CA20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1234500</w:t>
            </w:r>
          </w:p>
        </w:tc>
      </w:tr>
      <w:tr w:rsidR="009327F6" w:rsidRPr="0022631D" w14:paraId="09D86BF5" w14:textId="77777777" w:rsidTr="009327F6">
        <w:trPr>
          <w:trHeight w:val="146"/>
          <w:jc w:val="center"/>
        </w:trPr>
        <w:tc>
          <w:tcPr>
            <w:tcW w:w="814" w:type="dxa"/>
            <w:shd w:val="clear" w:color="auto" w:fill="auto"/>
            <w:vAlign w:val="center"/>
          </w:tcPr>
          <w:p w14:paraId="07D1DBC7" w14:textId="4301846A" w:rsidR="009327F6" w:rsidRPr="00095497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8, 9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14:paraId="18E9184B" w14:textId="2A151929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«ԹԱԳ ՀԷՄ»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4155B529" w14:textId="6E4DE10E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ԿՀԳԿ-ԳՀԱՊՁԲ-2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/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1013BD6A" w14:textId="51A86B9F" w:rsidR="009327F6" w:rsidRPr="00AC2A48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  <w:r w:rsidRPr="00AC2A48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</w:t>
            </w:r>
            <w:r w:rsidRPr="00AC2A48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AC2A4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05644FA" w14:textId="2E998A55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  <w:r w:rsidRPr="009327F6">
              <w:rPr>
                <w:rFonts w:ascii="MS Gothic" w:eastAsia="MS Gothic" w:hAnsi="MS Gothic" w:cs="MS Gothic" w:hint="eastAsia"/>
                <w:b/>
                <w:sz w:val="14"/>
                <w:szCs w:val="14"/>
                <w:lang w:val="hy-AM" w:eastAsia="ru-RU"/>
              </w:rPr>
              <w:t>․</w:t>
            </w:r>
            <w:r w:rsidRPr="009327F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2023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8A110DF" w14:textId="77777777" w:rsidR="009327F6" w:rsidRPr="0022631D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B1D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չէ</w:t>
            </w:r>
            <w:proofErr w:type="spellEnd"/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061123FD" w14:textId="6D9F3173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430200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5A9E66BE" w14:textId="24785B13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430200</w:t>
            </w:r>
          </w:p>
        </w:tc>
      </w:tr>
      <w:tr w:rsidR="006B2CFC" w:rsidRPr="0022631D" w14:paraId="41E4ED39" w14:textId="77777777" w:rsidTr="00BB1DB5">
        <w:trPr>
          <w:trHeight w:val="150"/>
          <w:jc w:val="center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B2CFC" w:rsidRPr="0022631D" w14:paraId="1F657639" w14:textId="77777777" w:rsidTr="00BB1DB5">
        <w:trPr>
          <w:trHeight w:val="125"/>
          <w:jc w:val="center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03CDB224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ՀՎՀՀ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327F6" w:rsidRPr="0022631D" w14:paraId="7B1B4483" w14:textId="77777777" w:rsidTr="009327F6">
        <w:trPr>
          <w:trHeight w:val="155"/>
          <w:jc w:val="center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7BD7A5" w14:textId="5BA44C74" w:rsidR="009327F6" w:rsidRPr="00E32BC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1, 7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C9502" w14:textId="662288D2" w:rsidR="009327F6" w:rsidRPr="0022631D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«Կոնցեռն-Էներգոմաշ» ՓԲԸ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D2CD1" w14:textId="10A219E0" w:rsid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23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ՀՀ, ք. Երևան, </w:t>
            </w: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Ազատության 26/8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</w:p>
          <w:p w14:paraId="336D2585" w14:textId="6673C0D5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423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հեռ. </w:t>
            </w:r>
            <w:r w:rsidR="00A52A39" w:rsidRPr="00A52A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011-87-87-17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51FC0" w14:textId="4910E170" w:rsidR="009327F6" w:rsidRP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hAnsi="GHEA Grapalat"/>
                <w:sz w:val="16"/>
                <w:szCs w:val="16"/>
              </w:rPr>
            </w:pPr>
            <w:r w:rsidRPr="009327F6">
              <w:rPr>
                <w:rStyle w:val="Hyperlink"/>
                <w:rFonts w:ascii="GHEA Grapalat" w:hAnsi="GHEA Grapalat"/>
                <w:sz w:val="16"/>
                <w:szCs w:val="16"/>
              </w:rPr>
              <w:t>lawyer@c-e.am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0110B" w14:textId="1BC8727F" w:rsidR="009327F6" w:rsidRPr="00ED7321" w:rsidRDefault="00ED7321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highlight w:val="yellow"/>
                <w:lang w:eastAsia="ru-RU"/>
              </w:rPr>
            </w:pPr>
            <w:r w:rsidRPr="00ED732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1570011489540100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ABC6C" w14:textId="50206B4D" w:rsidR="009327F6" w:rsidRPr="00FC4488" w:rsidRDefault="00A52A39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52A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Pr="00A52A3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1210095</w:t>
            </w:r>
          </w:p>
        </w:tc>
      </w:tr>
      <w:tr w:rsidR="009327F6" w:rsidRPr="0022631D" w14:paraId="3D80AC36" w14:textId="77777777" w:rsidTr="009327F6">
        <w:trPr>
          <w:trHeight w:val="155"/>
          <w:jc w:val="center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04827" w14:textId="369A0D20" w:rsidR="009327F6" w:rsidRPr="00E32BC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3, 4, 5, 6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CF608" w14:textId="5BFD53A0" w:rsidR="009327F6" w:rsidRPr="0022631D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«Օրգանիքս»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76008" w14:textId="09498DB1" w:rsid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23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ՀՀ, ք. Երևան, </w:t>
            </w: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</w:t>
            </w:r>
            <w:r w:rsidRPr="009327F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Հասրաթյան 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</w:p>
          <w:p w14:paraId="4A2BE58D" w14:textId="19C7364E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423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հեռ. </w:t>
            </w: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033-48-64-87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12397A" w14:textId="24265B3F" w:rsidR="009327F6" w:rsidRPr="009327F6" w:rsidRDefault="000F3324" w:rsidP="009327F6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hAnsi="GHEA Grapalat"/>
                <w:sz w:val="16"/>
                <w:szCs w:val="16"/>
              </w:rPr>
            </w:pPr>
            <w:hyperlink r:id="rId8" w:history="1">
              <w:r w:rsidR="009327F6" w:rsidRPr="009327F6">
                <w:rPr>
                  <w:rStyle w:val="Hyperlink"/>
                  <w:rFonts w:ascii="GHEA Grapalat" w:hAnsi="GHEA Grapalat"/>
                  <w:sz w:val="16"/>
                  <w:szCs w:val="16"/>
                </w:rPr>
                <w:t>customer.organix@gmail.com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3BC57" w14:textId="106822F6" w:rsidR="009327F6" w:rsidRPr="00D034AC" w:rsidRDefault="00D034AC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034A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2500010938310100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CCFFDD" w14:textId="69564EC9" w:rsidR="009327F6" w:rsidRPr="00FC4488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00486487</w:t>
            </w:r>
          </w:p>
        </w:tc>
      </w:tr>
      <w:tr w:rsidR="009327F6" w:rsidRPr="0022631D" w14:paraId="0947600B" w14:textId="77777777" w:rsidTr="009327F6">
        <w:trPr>
          <w:trHeight w:val="155"/>
          <w:jc w:val="center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D4A68D" w14:textId="1F5EC162" w:rsidR="009327F6" w:rsidRPr="00E32BC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8, 9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665D6" w14:textId="1BED360A" w:rsidR="009327F6" w:rsidRPr="0022631D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«ԹԱԳ ՀԷՄ»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B5D43F" w14:textId="41562169" w:rsidR="009327F6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423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ՀՀ, ք. Երևան, </w:t>
            </w:r>
            <w:r w:rsidR="00A52A39" w:rsidRPr="00A52A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Լենինգրադյան 31/7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</w:p>
          <w:p w14:paraId="737D8AE5" w14:textId="32BCB492" w:rsidR="009327F6" w:rsidRPr="00FF036C" w:rsidRDefault="009327F6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14233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հեռ. </w:t>
            </w:r>
            <w:r w:rsidR="00A52A39" w:rsidRPr="00A52A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010-38-06-09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467053" w14:textId="5525F492" w:rsidR="009327F6" w:rsidRPr="00A52A39" w:rsidRDefault="00A52A39" w:rsidP="009327F6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hAnsi="GHEA Grapalat"/>
                <w:sz w:val="16"/>
                <w:szCs w:val="16"/>
              </w:rPr>
            </w:pPr>
            <w:r w:rsidRPr="00A52A39">
              <w:rPr>
                <w:rStyle w:val="Hyperlink"/>
                <w:sz w:val="16"/>
                <w:szCs w:val="16"/>
              </w:rPr>
              <w:t>gnumner.taghem@gmail.com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FE0D1" w14:textId="5DA21CCD" w:rsidR="009327F6" w:rsidRPr="00AC2A48" w:rsidRDefault="00AC2A48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C2A4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1570078220570100</w:t>
            </w:r>
            <w:bookmarkStart w:id="0" w:name="_GoBack"/>
            <w:bookmarkEnd w:id="0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708266" w14:textId="4616631A" w:rsidR="009327F6" w:rsidRPr="00FC4488" w:rsidRDefault="00A52A39" w:rsidP="009327F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52A3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01232586</w:t>
            </w:r>
          </w:p>
        </w:tc>
      </w:tr>
      <w:tr w:rsidR="006B2CFC" w:rsidRPr="0022631D" w14:paraId="496A046D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3863A00B" w14:textId="77777777" w:rsidTr="00BB1DB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6B2CFC" w:rsidRPr="0022631D" w:rsidRDefault="006B2CFC" w:rsidP="006B2C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3A49786" w:rsidR="006B2CFC" w:rsidRPr="009327F6" w:rsidRDefault="009327F6" w:rsidP="006B2CFC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2-րդ չափաբաժինը հայտարարվել է չկայացած </w:t>
            </w:r>
            <w:r w:rsidRPr="009327F6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համաձայն`”Գնումների մասին” ՀՀ օրենքի 37-րդ հոդվածի 1-ին մասի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3-րդ կետի</w:t>
            </w:r>
          </w:p>
        </w:tc>
      </w:tr>
      <w:tr w:rsidR="006B2CFC" w:rsidRPr="0022631D" w14:paraId="485BF528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E56328" w14:paraId="7DB42300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366938C8" w14:textId="1E998D47" w:rsidR="006B2CFC" w:rsidRPr="004D078F" w:rsidRDefault="006B2CFC" w:rsidP="006B2CFC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B2CFC" w:rsidRPr="00E56328" w14:paraId="3CC8B38C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E56328" w14:paraId="5484FA73" w14:textId="77777777" w:rsidTr="00BB1DB5">
        <w:trPr>
          <w:trHeight w:val="475"/>
          <w:jc w:val="center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7725DC33" w:rsidR="006B2CFC" w:rsidRPr="00AC0B02" w:rsidRDefault="000F3324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9" w:history="1">
              <w:r w:rsidR="006B2CFC" w:rsidRPr="00003CA9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www.gnumner.am</w:t>
              </w:r>
            </w:hyperlink>
          </w:p>
        </w:tc>
      </w:tr>
      <w:tr w:rsidR="006B2CFC" w:rsidRPr="00E56328" w14:paraId="5A7FED5D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E56328" w14:paraId="40B30E88" w14:textId="77777777" w:rsidTr="00BB1DB5">
        <w:trPr>
          <w:trHeight w:val="427"/>
          <w:jc w:val="center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6B2CFC" w:rsidRPr="0022631D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2FE0E9F3" w:rsidR="006B2CFC" w:rsidRPr="00AC0B02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հայտնաբերվել</w:t>
            </w:r>
          </w:p>
        </w:tc>
      </w:tr>
      <w:tr w:rsidR="006B2CFC" w:rsidRPr="00E56328" w14:paraId="541BD7F7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E56328" w14:paraId="4DE14D25" w14:textId="77777777" w:rsidTr="00BB1DB5">
        <w:trPr>
          <w:trHeight w:val="427"/>
          <w:jc w:val="center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6B2CFC" w:rsidRPr="00E56328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4F16FB0B" w:rsidR="006B2CFC" w:rsidRPr="00E56328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Չեն ներկայացվել</w:t>
            </w:r>
          </w:p>
        </w:tc>
      </w:tr>
      <w:tr w:rsidR="006B2CFC" w:rsidRPr="00E56328" w14:paraId="1DAD5D5C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6B2CFC" w:rsidRPr="00E56328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B2CFC" w:rsidRPr="0022631D" w14:paraId="5F667D89" w14:textId="77777777" w:rsidTr="00BB1DB5">
        <w:trPr>
          <w:trHeight w:val="427"/>
          <w:jc w:val="center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6B2CFC" w:rsidRPr="0022631D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B2CFC" w:rsidRPr="0022631D" w14:paraId="406B68D6" w14:textId="77777777" w:rsidTr="00BB1DB5">
        <w:trPr>
          <w:trHeight w:val="288"/>
          <w:jc w:val="center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6B2CFC" w:rsidRPr="0022631D" w:rsidRDefault="006B2CFC" w:rsidP="006B2CF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B2CFC" w:rsidRPr="0022631D" w14:paraId="1A2BD291" w14:textId="77777777" w:rsidTr="00BB1DB5">
        <w:trPr>
          <w:trHeight w:val="227"/>
          <w:jc w:val="center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6B2CFC" w:rsidRPr="0022631D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B2CFC" w:rsidRPr="0022631D" w14:paraId="002AF1AD" w14:textId="77777777" w:rsidTr="00BB1DB5">
        <w:trPr>
          <w:trHeight w:val="47"/>
          <w:jc w:val="center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6B2CFC" w:rsidRPr="0022631D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6B2CFC" w:rsidRPr="0022631D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6B2CFC" w:rsidRPr="0022631D" w:rsidRDefault="006B2CFC" w:rsidP="006B2CF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6B2CFC" w:rsidRPr="0022631D" w14:paraId="6C6C269C" w14:textId="77777777" w:rsidTr="00BB1DB5">
        <w:trPr>
          <w:trHeight w:val="47"/>
          <w:jc w:val="center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2C3A34F6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Ա.Պետրոսյան</w:t>
            </w:r>
            <w:proofErr w:type="spellEnd"/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500E9DC1" w:rsidR="006B2CFC" w:rsidRPr="0022631D" w:rsidRDefault="006B2CFC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(010) 56-85-31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5BC6CD87" w:rsidR="006B2CFC" w:rsidRPr="0022631D" w:rsidRDefault="000F3324" w:rsidP="006B2CF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0" w:history="1">
              <w:r w:rsidR="006B2CFC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gnumner@sci.am</w:t>
              </w:r>
            </w:hyperlink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1FA3" w14:textId="77777777" w:rsidR="000F3324" w:rsidRDefault="000F3324" w:rsidP="0022631D">
      <w:pPr>
        <w:spacing w:before="0" w:after="0"/>
      </w:pPr>
      <w:r>
        <w:separator/>
      </w:r>
    </w:p>
  </w:endnote>
  <w:endnote w:type="continuationSeparator" w:id="0">
    <w:p w14:paraId="1181584A" w14:textId="77777777" w:rsidR="000F3324" w:rsidRDefault="000F3324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D82B" w14:textId="77777777" w:rsidR="000F3324" w:rsidRDefault="000F3324" w:rsidP="0022631D">
      <w:pPr>
        <w:spacing w:before="0" w:after="0"/>
      </w:pPr>
      <w:r>
        <w:separator/>
      </w:r>
    </w:p>
  </w:footnote>
  <w:footnote w:type="continuationSeparator" w:id="0">
    <w:p w14:paraId="55FF1307" w14:textId="77777777" w:rsidR="000F3324" w:rsidRDefault="000F3324" w:rsidP="0022631D">
      <w:pPr>
        <w:spacing w:before="0" w:after="0"/>
      </w:pPr>
      <w:r>
        <w:continuationSeparator/>
      </w:r>
    </w:p>
  </w:footnote>
  <w:footnote w:id="1">
    <w:p w14:paraId="73E33F31" w14:textId="77777777" w:rsidR="009327F6" w:rsidRPr="00541A77" w:rsidRDefault="009327F6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9327F6" w:rsidRPr="002D0BF6" w:rsidRDefault="009327F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9327F6" w:rsidRPr="002D0BF6" w:rsidRDefault="009327F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327F6" w:rsidRPr="002D0BF6" w:rsidRDefault="009327F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327F6" w:rsidRPr="002D0BF6" w:rsidRDefault="009327F6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9327F6" w:rsidRPr="00871366" w:rsidRDefault="009327F6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1ED"/>
    <w:multiLevelType w:val="hybridMultilevel"/>
    <w:tmpl w:val="748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873732"/>
    <w:multiLevelType w:val="hybridMultilevel"/>
    <w:tmpl w:val="839A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68D1"/>
    <w:rsid w:val="00095497"/>
    <w:rsid w:val="000B0199"/>
    <w:rsid w:val="000E4FF1"/>
    <w:rsid w:val="000F3324"/>
    <w:rsid w:val="000F376D"/>
    <w:rsid w:val="001021B0"/>
    <w:rsid w:val="00142335"/>
    <w:rsid w:val="00176F6D"/>
    <w:rsid w:val="0018422F"/>
    <w:rsid w:val="001A1999"/>
    <w:rsid w:val="001A5AEB"/>
    <w:rsid w:val="001C1BE1"/>
    <w:rsid w:val="001E0091"/>
    <w:rsid w:val="0022631D"/>
    <w:rsid w:val="00275F69"/>
    <w:rsid w:val="002864E0"/>
    <w:rsid w:val="00295B92"/>
    <w:rsid w:val="002962EB"/>
    <w:rsid w:val="002E4E6F"/>
    <w:rsid w:val="002F16CC"/>
    <w:rsid w:val="002F1FEB"/>
    <w:rsid w:val="00302795"/>
    <w:rsid w:val="003252F8"/>
    <w:rsid w:val="00325CE4"/>
    <w:rsid w:val="00371B1D"/>
    <w:rsid w:val="003B2758"/>
    <w:rsid w:val="003E3D40"/>
    <w:rsid w:val="003E6978"/>
    <w:rsid w:val="0041193D"/>
    <w:rsid w:val="00433E3C"/>
    <w:rsid w:val="0045607A"/>
    <w:rsid w:val="00472069"/>
    <w:rsid w:val="00474C2F"/>
    <w:rsid w:val="004764CD"/>
    <w:rsid w:val="004875E0"/>
    <w:rsid w:val="004D078F"/>
    <w:rsid w:val="004D4FCA"/>
    <w:rsid w:val="004E376E"/>
    <w:rsid w:val="004E7358"/>
    <w:rsid w:val="00503BCC"/>
    <w:rsid w:val="00546023"/>
    <w:rsid w:val="00566956"/>
    <w:rsid w:val="00572A0F"/>
    <w:rsid w:val="005737F9"/>
    <w:rsid w:val="005864A7"/>
    <w:rsid w:val="005D5FBD"/>
    <w:rsid w:val="005F04A5"/>
    <w:rsid w:val="005F7DF6"/>
    <w:rsid w:val="00607C9A"/>
    <w:rsid w:val="00646760"/>
    <w:rsid w:val="00681A6F"/>
    <w:rsid w:val="00681B87"/>
    <w:rsid w:val="00690ECB"/>
    <w:rsid w:val="006A38B4"/>
    <w:rsid w:val="006B2CFC"/>
    <w:rsid w:val="006B2E21"/>
    <w:rsid w:val="006C0266"/>
    <w:rsid w:val="006D734E"/>
    <w:rsid w:val="006E0D92"/>
    <w:rsid w:val="006E1A83"/>
    <w:rsid w:val="006F0531"/>
    <w:rsid w:val="006F2779"/>
    <w:rsid w:val="00705243"/>
    <w:rsid w:val="007060FC"/>
    <w:rsid w:val="00745ABD"/>
    <w:rsid w:val="007473B3"/>
    <w:rsid w:val="007732E7"/>
    <w:rsid w:val="0078682E"/>
    <w:rsid w:val="007E52A3"/>
    <w:rsid w:val="0081420B"/>
    <w:rsid w:val="00875E4D"/>
    <w:rsid w:val="008C1A95"/>
    <w:rsid w:val="008C4E62"/>
    <w:rsid w:val="008E493A"/>
    <w:rsid w:val="009327F6"/>
    <w:rsid w:val="009A47D6"/>
    <w:rsid w:val="009C5E0F"/>
    <w:rsid w:val="009D2222"/>
    <w:rsid w:val="009E75FF"/>
    <w:rsid w:val="00A179B2"/>
    <w:rsid w:val="00A26145"/>
    <w:rsid w:val="00A306F5"/>
    <w:rsid w:val="00A31820"/>
    <w:rsid w:val="00A52A39"/>
    <w:rsid w:val="00A66421"/>
    <w:rsid w:val="00A82E89"/>
    <w:rsid w:val="00AA32E4"/>
    <w:rsid w:val="00AC0B02"/>
    <w:rsid w:val="00AC2A48"/>
    <w:rsid w:val="00AD07B9"/>
    <w:rsid w:val="00AD59DC"/>
    <w:rsid w:val="00B230C2"/>
    <w:rsid w:val="00B4707D"/>
    <w:rsid w:val="00B75762"/>
    <w:rsid w:val="00B91DE2"/>
    <w:rsid w:val="00B94EA2"/>
    <w:rsid w:val="00BA03B0"/>
    <w:rsid w:val="00BB0A93"/>
    <w:rsid w:val="00BB1DB5"/>
    <w:rsid w:val="00BD3D4E"/>
    <w:rsid w:val="00BF1465"/>
    <w:rsid w:val="00BF4745"/>
    <w:rsid w:val="00BF52E8"/>
    <w:rsid w:val="00C84DF7"/>
    <w:rsid w:val="00C860C7"/>
    <w:rsid w:val="00C96337"/>
    <w:rsid w:val="00C96BED"/>
    <w:rsid w:val="00CB44D2"/>
    <w:rsid w:val="00CC1F23"/>
    <w:rsid w:val="00CD0187"/>
    <w:rsid w:val="00CD33F8"/>
    <w:rsid w:val="00CF1F70"/>
    <w:rsid w:val="00D034AC"/>
    <w:rsid w:val="00D121E5"/>
    <w:rsid w:val="00D1279C"/>
    <w:rsid w:val="00D350DE"/>
    <w:rsid w:val="00D36189"/>
    <w:rsid w:val="00D80C64"/>
    <w:rsid w:val="00DB62D2"/>
    <w:rsid w:val="00DD2309"/>
    <w:rsid w:val="00DE06F1"/>
    <w:rsid w:val="00DF68B6"/>
    <w:rsid w:val="00E243EA"/>
    <w:rsid w:val="00E277C6"/>
    <w:rsid w:val="00E32BC6"/>
    <w:rsid w:val="00E33A25"/>
    <w:rsid w:val="00E4188B"/>
    <w:rsid w:val="00E54C4D"/>
    <w:rsid w:val="00E56328"/>
    <w:rsid w:val="00E56BAB"/>
    <w:rsid w:val="00E56E78"/>
    <w:rsid w:val="00EA01A2"/>
    <w:rsid w:val="00EA568C"/>
    <w:rsid w:val="00EA767F"/>
    <w:rsid w:val="00EB59EE"/>
    <w:rsid w:val="00ED7321"/>
    <w:rsid w:val="00ED7765"/>
    <w:rsid w:val="00EF16D0"/>
    <w:rsid w:val="00EF62A6"/>
    <w:rsid w:val="00F06373"/>
    <w:rsid w:val="00F10AFE"/>
    <w:rsid w:val="00F31004"/>
    <w:rsid w:val="00F64167"/>
    <w:rsid w:val="00F6673B"/>
    <w:rsid w:val="00F77AAD"/>
    <w:rsid w:val="00F916C4"/>
    <w:rsid w:val="00FB097B"/>
    <w:rsid w:val="00FB51D6"/>
    <w:rsid w:val="00FC4488"/>
    <w:rsid w:val="00FE098B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C46FFACB-C972-453F-9A96-FEAB551B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uiPriority w:val="99"/>
    <w:rsid w:val="00AC0B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C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CA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7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7D6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6B2C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organix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numner@sci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B626-74BE-4D01-8BB3-6AE0157C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Lenovo</cp:lastModifiedBy>
  <cp:revision>53</cp:revision>
  <cp:lastPrinted>2021-04-06T07:47:00Z</cp:lastPrinted>
  <dcterms:created xsi:type="dcterms:W3CDTF">2021-06-28T12:08:00Z</dcterms:created>
  <dcterms:modified xsi:type="dcterms:W3CDTF">2023-10-02T09:32:00Z</dcterms:modified>
</cp:coreProperties>
</file>